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CAB2DC0"/>
    <w:p w14:paraId="7B27FA61"/>
    <w:p w14:paraId="36124382">
      <w:pPr>
        <w:jc w:val="center"/>
        <w:rPr>
          <w:b/>
          <w:bCs/>
          <w:sz w:val="32"/>
          <w:szCs w:val="32"/>
        </w:rPr>
      </w:pPr>
      <w:r>
        <w:rPr>
          <w:b/>
          <w:bCs/>
          <w:sz w:val="32"/>
          <w:szCs w:val="32"/>
        </w:rPr>
        <w:t>THE FOUNDING STATEMENT</w:t>
      </w:r>
    </w:p>
    <w:p w14:paraId="6A523726">
      <w:pPr>
        <w:jc w:val="center"/>
        <w:rPr>
          <w:b/>
          <w:bCs/>
          <w:sz w:val="32"/>
          <w:szCs w:val="32"/>
        </w:rPr>
      </w:pPr>
      <w:r>
        <w:rPr>
          <w:b/>
          <w:bCs/>
          <w:sz w:val="32"/>
          <w:szCs w:val="32"/>
        </w:rPr>
        <w:t>OF</w:t>
      </w:r>
    </w:p>
    <w:p w14:paraId="101A92DC">
      <w:pPr>
        <w:jc w:val="center"/>
      </w:pPr>
      <w:r>
        <w:rPr>
          <w:b/>
          <w:bCs/>
          <w:sz w:val="32"/>
          <w:szCs w:val="32"/>
        </w:rPr>
        <w:t>THE CURRENCY AND MINT CORPORATION OF SYNO AURELIUS</w:t>
      </w:r>
      <w:r>
        <w:rPr>
          <w:b/>
          <w:bCs/>
          <w:sz w:val="32"/>
          <w:szCs w:val="32"/>
        </w:rPr>
        <w:br w:type="textWrapping"/>
      </w:r>
      <w:r>
        <w:rPr>
          <w:b/>
          <w:bCs/>
          <w:sz w:val="32"/>
          <w:szCs w:val="32"/>
        </w:rPr>
        <w:br w:type="textWrapping"/>
      </w:r>
      <w:r>
        <w:t>To Be Named and Known As: THE CURRENCY AND MINT CORPORATION OF SYNO AURELIUS (CMCSA)</w:t>
      </w:r>
      <w:r>
        <w:br w:type="textWrapping"/>
      </w:r>
      <w:r>
        <w:t>Issued by the Monarch of Syno Aurelius under Sovereign Mandate</w:t>
      </w:r>
    </w:p>
    <w:p w14:paraId="5A6BF2A8"/>
    <w:p w14:paraId="5D161A20">
      <w:pPr>
        <w:rPr>
          <w:b/>
          <w:bCs/>
        </w:rPr>
      </w:pPr>
      <w:r>
        <w:rPr>
          <w:b/>
          <w:bCs/>
        </w:rPr>
        <w:t>PREAMBLE</w:t>
      </w:r>
    </w:p>
    <w:p w14:paraId="66419DE7"/>
    <w:p w14:paraId="2DFC4A2F">
      <w:pPr>
        <w:jc w:val="both"/>
      </w:pPr>
      <w:r>
        <w:t xml:space="preserve">By Royal Authority and in service to the enduring independence and monetary sovereignty of Syno Aurelius, I, Karolys Ignatius </w:t>
      </w:r>
      <w:r>
        <w:rPr>
          <w:rFonts w:hint="default"/>
          <w:lang w:val="en-US"/>
        </w:rPr>
        <w:t>V</w:t>
      </w:r>
      <w:r>
        <w:t>on Lotharinge, Monarch of the Constitutional Monarchy of Syno Aurelius, do hereby establish the Currency and Mint Corporation of Syno Aurelius (CMCSA) in accordance with the Monarchs Act, Act 1 of 2019 and Constitution Act, Act 2 of 2019.</w:t>
      </w:r>
    </w:p>
    <w:p w14:paraId="705E10B2">
      <w:pPr>
        <w:jc w:val="both"/>
      </w:pPr>
    </w:p>
    <w:p w14:paraId="0B804C0C">
      <w:pPr>
        <w:jc w:val="both"/>
      </w:pPr>
      <w:r>
        <w:t>This institution shall serve as the sovereign entity responsible for the design, production, issuance, authentication, and protection of the legal tender of Syno Aurelius, including all physical and digital currency forms, seals, and state instruments.</w:t>
      </w:r>
    </w:p>
    <w:p w14:paraId="4561F26C"/>
    <w:p w14:paraId="21B30DDA">
      <w:pPr>
        <w:rPr>
          <w:b/>
          <w:bCs/>
        </w:rPr>
      </w:pPr>
      <w:r>
        <w:rPr>
          <w:b/>
          <w:bCs/>
        </w:rPr>
        <w:t>ARTICLE I: ESTABLISHMENT AND PURPOSE</w:t>
      </w:r>
    </w:p>
    <w:p w14:paraId="4E29381E"/>
    <w:p w14:paraId="069C884F">
      <w:pPr>
        <w:numPr>
          <w:ilvl w:val="0"/>
          <w:numId w:val="1"/>
        </w:numPr>
        <w:ind w:left="425" w:leftChars="0" w:hanging="425" w:firstLineChars="0"/>
        <w:jc w:val="both"/>
      </w:pPr>
      <w:r>
        <w:t>The Currency and Mint Corporation of Syno Aurelius (CMCSA) is hereby established as a strategic State-Owned Entity under the custodianship of the National State Bank.</w:t>
      </w:r>
    </w:p>
    <w:p w14:paraId="3C9529A8">
      <w:pPr>
        <w:jc w:val="both"/>
      </w:pPr>
    </w:p>
    <w:p w14:paraId="7EB325DF">
      <w:pPr>
        <w:numPr>
          <w:ilvl w:val="0"/>
          <w:numId w:val="1"/>
        </w:numPr>
        <w:ind w:left="425" w:leftChars="0" w:hanging="425" w:firstLineChars="0"/>
        <w:jc w:val="both"/>
      </w:pPr>
      <w:r>
        <w:t>Its primary purpose shall be the creation, minting, and distribution of Syno Aurelius’ currency, coinage, and state-sanctioned commemorative monetary instruments.</w:t>
      </w:r>
    </w:p>
    <w:p w14:paraId="56C90991">
      <w:pPr>
        <w:jc w:val="both"/>
      </w:pPr>
    </w:p>
    <w:p w14:paraId="46FDB887">
      <w:pPr>
        <w:numPr>
          <w:ilvl w:val="0"/>
          <w:numId w:val="1"/>
        </w:numPr>
        <w:ind w:left="425" w:leftChars="0" w:hanging="425" w:firstLineChars="0"/>
        <w:jc w:val="both"/>
      </w:pPr>
      <w:r>
        <w:t>CMCSA shall also manage currency design, security features, anti-counterfeiting technologies, and archiving of historical monetary editions.</w:t>
      </w:r>
    </w:p>
    <w:p w14:paraId="53927F58"/>
    <w:p w14:paraId="1BDF7090"/>
    <w:p w14:paraId="2E2F41B0">
      <w:pPr>
        <w:rPr>
          <w:b/>
          <w:bCs/>
        </w:rPr>
      </w:pPr>
      <w:r>
        <w:rPr>
          <w:b/>
          <w:bCs/>
        </w:rPr>
        <w:t>ARTICLE II: LEGAL AND OPERATIVE MANDATE</w:t>
      </w:r>
    </w:p>
    <w:p w14:paraId="436B9F59"/>
    <w:p w14:paraId="70B185EC">
      <w:pPr>
        <w:numPr>
          <w:ilvl w:val="0"/>
          <w:numId w:val="2"/>
        </w:numPr>
        <w:ind w:left="425" w:leftChars="0" w:hanging="425" w:firstLineChars="0"/>
        <w:jc w:val="both"/>
      </w:pPr>
      <w:r>
        <w:t>CMCSA shall operate as a juristic person with full legal standing, empowered to contract, manage production facilities, enter partnerships, and act internationally on behalf of the Crown and Central Bank.</w:t>
      </w:r>
    </w:p>
    <w:p w14:paraId="7433CD38">
      <w:pPr>
        <w:jc w:val="both"/>
      </w:pPr>
    </w:p>
    <w:p w14:paraId="01320320">
      <w:pPr>
        <w:numPr>
          <w:ilvl w:val="0"/>
          <w:numId w:val="2"/>
        </w:numPr>
        <w:ind w:left="425" w:leftChars="0" w:hanging="425" w:firstLineChars="0"/>
        <w:jc w:val="both"/>
      </w:pPr>
      <w:r>
        <w:t>Its operations shall extend across:</w:t>
      </w:r>
    </w:p>
    <w:p w14:paraId="3C4B9981">
      <w:pPr>
        <w:jc w:val="both"/>
      </w:pPr>
    </w:p>
    <w:p w14:paraId="716A41BE">
      <w:pPr>
        <w:numPr>
          <w:ilvl w:val="0"/>
          <w:numId w:val="2"/>
        </w:numPr>
        <w:ind w:left="425" w:leftChars="0" w:hanging="425" w:firstLineChars="0"/>
        <w:jc w:val="both"/>
      </w:pPr>
      <w:r>
        <w:t>Minting of coins and commemorative bullion</w:t>
      </w:r>
    </w:p>
    <w:p w14:paraId="0396B25D">
      <w:pPr>
        <w:jc w:val="both"/>
      </w:pPr>
    </w:p>
    <w:p w14:paraId="5B95D87B">
      <w:pPr>
        <w:numPr>
          <w:ilvl w:val="0"/>
          <w:numId w:val="2"/>
        </w:numPr>
        <w:ind w:left="425" w:leftChars="0" w:hanging="425" w:firstLineChars="0"/>
        <w:jc w:val="both"/>
      </w:pPr>
      <w:r>
        <w:t>Printing of banknotes and treasury bonds</w:t>
      </w:r>
    </w:p>
    <w:p w14:paraId="416AD09F">
      <w:pPr>
        <w:jc w:val="both"/>
      </w:pPr>
    </w:p>
    <w:p w14:paraId="27E66401">
      <w:pPr>
        <w:numPr>
          <w:ilvl w:val="0"/>
          <w:numId w:val="2"/>
        </w:numPr>
        <w:ind w:left="425" w:leftChars="0" w:hanging="425" w:firstLineChars="0"/>
        <w:jc w:val="both"/>
      </w:pPr>
      <w:r>
        <w:t>Design and digital issuance of virtual currency formats and security-encoded digital instruments</w:t>
      </w:r>
    </w:p>
    <w:p w14:paraId="10BA2DC5"/>
    <w:p w14:paraId="7A7D4EE4">
      <w:pPr>
        <w:numPr>
          <w:ilvl w:val="0"/>
          <w:numId w:val="2"/>
        </w:numPr>
        <w:ind w:left="425" w:leftChars="0" w:hanging="425" w:firstLineChars="0"/>
        <w:jc w:val="both"/>
      </w:pPr>
      <w:r>
        <w:t>Official storage and preservation of sovereign die stamps, master templates, and printing plates</w:t>
      </w:r>
    </w:p>
    <w:p w14:paraId="407FBD7E">
      <w:pPr>
        <w:jc w:val="both"/>
      </w:pPr>
    </w:p>
    <w:p w14:paraId="2B864958">
      <w:pPr>
        <w:numPr>
          <w:ilvl w:val="0"/>
          <w:numId w:val="2"/>
        </w:numPr>
        <w:ind w:left="425" w:leftChars="0" w:hanging="425" w:firstLineChars="0"/>
        <w:jc w:val="both"/>
      </w:pPr>
      <w:r>
        <w:t>Advisory services on currency aesthetics and policy</w:t>
      </w:r>
    </w:p>
    <w:p w14:paraId="4A4C1B98">
      <w:pPr>
        <w:jc w:val="both"/>
      </w:pPr>
    </w:p>
    <w:p w14:paraId="316AE3DA">
      <w:pPr>
        <w:rPr>
          <w:b/>
          <w:bCs/>
        </w:rPr>
      </w:pPr>
      <w:r>
        <w:rPr>
          <w:b/>
          <w:bCs/>
        </w:rPr>
        <w:t>ARTICLE III: GOVERNANCE AND ACCOUNTABILITY</w:t>
      </w:r>
    </w:p>
    <w:p w14:paraId="023A3F63"/>
    <w:p w14:paraId="71D0DFAF">
      <w:pPr>
        <w:numPr>
          <w:ilvl w:val="0"/>
          <w:numId w:val="3"/>
        </w:numPr>
        <w:ind w:left="425" w:leftChars="0" w:hanging="425" w:firstLineChars="0"/>
        <w:jc w:val="both"/>
      </w:pPr>
      <w:r>
        <w:t>The Corporation shall be governed by a Chairman of the Mint, appointed by the Monarch upon advice of the State President and Governor of the National State Bank.</w:t>
      </w:r>
    </w:p>
    <w:p w14:paraId="5F315A53">
      <w:pPr>
        <w:jc w:val="both"/>
      </w:pPr>
    </w:p>
    <w:p w14:paraId="74718349">
      <w:pPr>
        <w:numPr>
          <w:ilvl w:val="0"/>
          <w:numId w:val="3"/>
        </w:numPr>
        <w:ind w:left="425" w:leftChars="0" w:hanging="425" w:firstLineChars="0"/>
        <w:jc w:val="both"/>
      </w:pPr>
      <w:r>
        <w:t>The Chairman shall be supported by a Mint Council, composed of officials representing Treasury, National State Bank, and Royal House.</w:t>
      </w:r>
    </w:p>
    <w:p w14:paraId="5035A404">
      <w:pPr>
        <w:jc w:val="both"/>
      </w:pPr>
    </w:p>
    <w:p w14:paraId="181BBC62">
      <w:pPr>
        <w:numPr>
          <w:ilvl w:val="0"/>
          <w:numId w:val="3"/>
        </w:numPr>
        <w:ind w:left="425" w:leftChars="0" w:hanging="425" w:firstLineChars="0"/>
        <w:jc w:val="both"/>
      </w:pPr>
      <w:r>
        <w:t>CMCSA shall report quarterly and annually to:</w:t>
      </w:r>
    </w:p>
    <w:p w14:paraId="7528D4CC">
      <w:pPr>
        <w:jc w:val="both"/>
      </w:pPr>
    </w:p>
    <w:p w14:paraId="412A3D30">
      <w:pPr>
        <w:numPr>
          <w:ilvl w:val="0"/>
          <w:numId w:val="3"/>
        </w:numPr>
        <w:ind w:left="425" w:leftChars="0" w:hanging="425" w:firstLineChars="0"/>
        <w:jc w:val="both"/>
      </w:pPr>
      <w:r>
        <w:t>The Governor of the National State Bank</w:t>
      </w:r>
    </w:p>
    <w:p w14:paraId="55F23553">
      <w:pPr>
        <w:jc w:val="both"/>
      </w:pPr>
    </w:p>
    <w:p w14:paraId="307F94D0">
      <w:pPr>
        <w:numPr>
          <w:ilvl w:val="0"/>
          <w:numId w:val="3"/>
        </w:numPr>
        <w:ind w:left="425" w:leftChars="0" w:hanging="425" w:firstLineChars="0"/>
        <w:jc w:val="both"/>
      </w:pPr>
      <w:r>
        <w:t>The Minister of Treasury</w:t>
      </w:r>
    </w:p>
    <w:p w14:paraId="073D8326">
      <w:pPr>
        <w:jc w:val="both"/>
      </w:pPr>
    </w:p>
    <w:p w14:paraId="46369E9D">
      <w:pPr>
        <w:numPr>
          <w:ilvl w:val="0"/>
          <w:numId w:val="3"/>
        </w:numPr>
        <w:ind w:left="425" w:leftChars="0" w:hanging="425" w:firstLineChars="0"/>
        <w:jc w:val="both"/>
      </w:pPr>
      <w:r>
        <w:t>The Office of the Monarch</w:t>
      </w:r>
    </w:p>
    <w:p w14:paraId="5405568A">
      <w:pPr>
        <w:jc w:val="both"/>
      </w:pPr>
    </w:p>
    <w:p w14:paraId="5EC35720">
      <w:pPr>
        <w:jc w:val="both"/>
      </w:pPr>
    </w:p>
    <w:p w14:paraId="5FB30028">
      <w:pPr>
        <w:jc w:val="both"/>
        <w:rPr>
          <w:b/>
          <w:bCs/>
        </w:rPr>
      </w:pPr>
      <w:r>
        <w:rPr>
          <w:b/>
          <w:bCs/>
        </w:rPr>
        <w:t>ARTICLE IV: CURRENCY SYSTEM AND POLICY ALIGNMENT</w:t>
      </w:r>
    </w:p>
    <w:p w14:paraId="7E3AE2C2">
      <w:pPr>
        <w:jc w:val="both"/>
      </w:pPr>
    </w:p>
    <w:p w14:paraId="461BF188">
      <w:pPr>
        <w:numPr>
          <w:ilvl w:val="0"/>
          <w:numId w:val="4"/>
        </w:numPr>
        <w:ind w:left="425" w:leftChars="0" w:hanging="425" w:firstLineChars="0"/>
        <w:jc w:val="both"/>
      </w:pPr>
      <w:r>
        <w:t>CMCSA shall uphold and operat</w:t>
      </w:r>
      <w:r>
        <w:rPr>
          <w:rFonts w:hint="default"/>
          <w:lang w:val="en-US"/>
        </w:rPr>
        <w:t xml:space="preserve">e a </w:t>
      </w:r>
      <w:r>
        <w:t xml:space="preserve"> currency policy as defined by the National State Bank.</w:t>
      </w:r>
    </w:p>
    <w:p w14:paraId="0DC9A0A9">
      <w:pPr>
        <w:jc w:val="both"/>
      </w:pPr>
    </w:p>
    <w:p w14:paraId="584D1D07">
      <w:pPr>
        <w:numPr>
          <w:ilvl w:val="0"/>
          <w:numId w:val="4"/>
        </w:numPr>
        <w:ind w:left="425" w:leftChars="0" w:hanging="425" w:firstLineChars="0"/>
        <w:jc w:val="both"/>
      </w:pPr>
      <w:r>
        <w:t>It shall mint and issue the Syno Aurelius Dollar (SAD), the official Secondary Currency, in digital and physical formats, in accordance with approved volumes and monetary thresholds.</w:t>
      </w:r>
    </w:p>
    <w:p w14:paraId="007FDEB5">
      <w:pPr>
        <w:jc w:val="both"/>
      </w:pPr>
    </w:p>
    <w:p w14:paraId="0784C625">
      <w:pPr>
        <w:numPr>
          <w:ilvl w:val="0"/>
          <w:numId w:val="4"/>
        </w:numPr>
        <w:ind w:left="425" w:leftChars="0" w:hanging="425" w:firstLineChars="0"/>
        <w:jc w:val="both"/>
      </w:pPr>
      <w:r>
        <w:t>The United States Dollar (USD) shall remain the Primary Currency until amended by joint recommendation of the Governor of the Central Bank and the State President, and ratified by the Monarch.</w:t>
      </w:r>
    </w:p>
    <w:p w14:paraId="01BA4A07">
      <w:pPr>
        <w:jc w:val="both"/>
      </w:pPr>
    </w:p>
    <w:p w14:paraId="4BFB0327">
      <w:pPr>
        <w:jc w:val="both"/>
      </w:pPr>
    </w:p>
    <w:p w14:paraId="0CD77B20">
      <w:pPr>
        <w:jc w:val="both"/>
        <w:rPr>
          <w:b/>
          <w:bCs/>
        </w:rPr>
      </w:pPr>
      <w:r>
        <w:rPr>
          <w:b/>
          <w:bCs/>
        </w:rPr>
        <w:t>ARTICLE V: TECHNOLOGY, SECURITY, AND INTELLECTUAL SOVEREIGNTY</w:t>
      </w:r>
    </w:p>
    <w:p w14:paraId="27EE8B35">
      <w:pPr>
        <w:jc w:val="both"/>
      </w:pPr>
    </w:p>
    <w:p w14:paraId="1F07140B">
      <w:pPr>
        <w:numPr>
          <w:ilvl w:val="0"/>
          <w:numId w:val="5"/>
        </w:numPr>
        <w:ind w:left="425" w:leftChars="0" w:hanging="425" w:firstLineChars="0"/>
        <w:jc w:val="both"/>
      </w:pPr>
      <w:r>
        <w:t>The CMCSA shall integrate cutting-edge technology for anti-counterfeiting, holography, AI-driven serialization, and blockchain-based verification.</w:t>
      </w:r>
    </w:p>
    <w:p w14:paraId="22D5D3C3">
      <w:pPr>
        <w:jc w:val="both"/>
      </w:pPr>
    </w:p>
    <w:p w14:paraId="06B225D8">
      <w:pPr>
        <w:numPr>
          <w:ilvl w:val="0"/>
          <w:numId w:val="5"/>
        </w:numPr>
        <w:ind w:left="425" w:leftChars="0" w:hanging="425" w:firstLineChars="0"/>
        <w:jc w:val="both"/>
      </w:pPr>
      <w:r>
        <w:t>All designs, templates, software, and minting IP shall remain the exclusive intellectual property of Syno Aurelius and its Crown.</w:t>
      </w:r>
    </w:p>
    <w:p w14:paraId="00BFA7FD">
      <w:pPr>
        <w:jc w:val="both"/>
      </w:pPr>
    </w:p>
    <w:p w14:paraId="784EC800">
      <w:pPr>
        <w:numPr>
          <w:ilvl w:val="0"/>
          <w:numId w:val="5"/>
        </w:numPr>
        <w:ind w:left="425" w:leftChars="0" w:hanging="425" w:firstLineChars="0"/>
        <w:jc w:val="both"/>
      </w:pPr>
      <w:r>
        <w:t>The Corporation shall safeguard historical monetary archives, ceremonial editions, and all national dies and printing matrices.</w:t>
      </w:r>
    </w:p>
    <w:p w14:paraId="7951D13A">
      <w:pPr>
        <w:jc w:val="both"/>
      </w:pPr>
    </w:p>
    <w:p w14:paraId="6B70009C">
      <w:pPr>
        <w:jc w:val="both"/>
      </w:pPr>
    </w:p>
    <w:p w14:paraId="52B9655D">
      <w:pPr>
        <w:jc w:val="both"/>
        <w:rPr>
          <w:b/>
          <w:bCs/>
        </w:rPr>
      </w:pPr>
      <w:r>
        <w:rPr>
          <w:b/>
          <w:bCs/>
        </w:rPr>
        <w:t>ARTICLE VI: INSIGNIA AND MONETARY EMBLEM</w:t>
      </w:r>
    </w:p>
    <w:p w14:paraId="01CA7277">
      <w:pPr>
        <w:jc w:val="both"/>
      </w:pPr>
    </w:p>
    <w:p w14:paraId="3C8A4CCE">
      <w:pPr>
        <w:numPr>
          <w:ilvl w:val="0"/>
          <w:numId w:val="6"/>
        </w:numPr>
        <w:ind w:left="425" w:leftChars="0" w:hanging="425" w:firstLineChars="0"/>
        <w:jc w:val="both"/>
      </w:pPr>
      <w:r>
        <w:t>The CMCSA shall bear a distinct Seal, Crest, and Royal Warrant authorized by the Herald of Syno Aurelius.</w:t>
      </w:r>
    </w:p>
    <w:p w14:paraId="232A5757">
      <w:pPr>
        <w:jc w:val="both"/>
      </w:pPr>
    </w:p>
    <w:p w14:paraId="226F2ED1">
      <w:pPr>
        <w:numPr>
          <w:ilvl w:val="0"/>
          <w:numId w:val="6"/>
        </w:numPr>
        <w:ind w:left="425" w:leftChars="0" w:hanging="425" w:firstLineChars="0"/>
        <w:jc w:val="both"/>
      </w:pPr>
      <w:r>
        <w:t>All issued currency must bear the insignia of the State and the authenticated mark of the Monarch or the appointed Governor.</w:t>
      </w:r>
    </w:p>
    <w:p w14:paraId="0D4F3FA1">
      <w:pPr>
        <w:numPr>
          <w:ilvl w:val="0"/>
          <w:numId w:val="0"/>
        </w:numPr>
      </w:pPr>
    </w:p>
    <w:p w14:paraId="243FF66E">
      <w:pPr>
        <w:numPr>
          <w:ilvl w:val="0"/>
          <w:numId w:val="0"/>
        </w:numPr>
      </w:pPr>
    </w:p>
    <w:p w14:paraId="446E254B"/>
    <w:p w14:paraId="05D0C707"/>
    <w:p w14:paraId="263E37AB">
      <w:pPr>
        <w:jc w:val="center"/>
      </w:pPr>
      <w:r>
        <w:rPr>
          <w:b/>
          <w:bCs/>
        </w:rPr>
        <w:t>GIVEN under my Royal Hand and Seal</w:t>
      </w:r>
      <w:r>
        <w:rPr>
          <w:b/>
          <w:bCs/>
        </w:rPr>
        <w:br w:type="textWrapping"/>
      </w:r>
      <w:r>
        <w:t>At the Royal Seat in Aurèliz</w:t>
      </w:r>
      <w:r>
        <w:br w:type="textWrapping"/>
      </w:r>
      <w:r>
        <w:t>On this Day, the 22nd of April, Year 2025</w:t>
      </w:r>
    </w:p>
    <w:p w14:paraId="6227A208">
      <w:pPr>
        <w:jc w:val="center"/>
      </w:pPr>
      <w:r>
        <w:t>By the Authority Vested in Me by the Foundational Acts of Syno Aurelius</w:t>
      </w:r>
    </w:p>
    <w:p w14:paraId="6ECEDED4">
      <w:pPr>
        <w:jc w:val="center"/>
      </w:pPr>
    </w:p>
    <w:p w14:paraId="3BBFF17E">
      <w:pPr>
        <w:jc w:val="center"/>
      </w:pPr>
    </w:p>
    <w:p w14:paraId="50950E60">
      <w:pPr>
        <w:jc w:val="center"/>
        <w:rPr>
          <w:rFonts w:hint="default"/>
          <w:lang w:val="en-US"/>
        </w:rPr>
      </w:pPr>
    </w:p>
    <w:p w14:paraId="748356F8">
      <w:pPr>
        <w:jc w:val="center"/>
        <w:rPr>
          <w:rFonts w:hint="default"/>
          <w:lang w:val="en-US"/>
        </w:rPr>
      </w:pPr>
    </w:p>
    <w:p w14:paraId="4E2C8F1D">
      <w:pPr>
        <w:jc w:val="center"/>
        <w:rPr>
          <w:rFonts w:hint="default"/>
          <w:lang w:val="en-US"/>
        </w:rPr>
      </w:pPr>
      <w:r>
        <w:rPr>
          <w:rFonts w:hint="default"/>
          <w:lang w:val="en-US"/>
        </w:rPr>
        <w:drawing>
          <wp:inline distT="0" distB="0" distL="114300" distR="114300">
            <wp:extent cx="1097915" cy="659130"/>
            <wp:effectExtent l="0" t="0" r="6985" b="7620"/>
            <wp:docPr id="6" name="Picture 6"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NARCH LOGO"/>
                    <pic:cNvPicPr>
                      <a:picLocks noChangeAspect="1"/>
                    </pic:cNvPicPr>
                  </pic:nvPicPr>
                  <pic:blipFill>
                    <a:blip r:embed="rId6"/>
                    <a:stretch>
                      <a:fillRect/>
                    </a:stretch>
                  </pic:blipFill>
                  <pic:spPr>
                    <a:xfrm>
                      <a:off x="0" y="0"/>
                      <a:ext cx="1097915" cy="659130"/>
                    </a:xfrm>
                    <a:prstGeom prst="rect">
                      <a:avLst/>
                    </a:prstGeom>
                    <a:solidFill>
                      <a:schemeClr val="accent4">
                        <a:lumMod val="20000"/>
                        <a:lumOff val="80000"/>
                      </a:schemeClr>
                    </a:solidFill>
                    <a:ln w="28575" cmpd="sng">
                      <a:noFill/>
                      <a:prstDash val="solid"/>
                    </a:ln>
                  </pic:spPr>
                </pic:pic>
              </a:graphicData>
            </a:graphic>
          </wp:inline>
        </w:drawing>
      </w:r>
    </w:p>
    <w:p w14:paraId="59845AC9">
      <w:pPr>
        <w:jc w:val="center"/>
      </w:pPr>
    </w:p>
    <w:p w14:paraId="3780EE74">
      <w:pPr>
        <w:jc w:val="center"/>
      </w:pPr>
      <w:r>
        <w:t>His Imperial Majesty</w:t>
      </w:r>
      <w:r>
        <w:br w:type="textWrapping"/>
      </w:r>
      <w:r>
        <w:t>Imperator Grand</w:t>
      </w:r>
      <w:r>
        <w:rPr>
          <w:rFonts w:hint="default" w:ascii="Calibri Light" w:hAnsi="Calibri Light" w:cs="Calibri Light"/>
        </w:rPr>
        <w:t>ė</w:t>
      </w:r>
      <w:r>
        <w:t xml:space="preserve"> Dominus</w:t>
      </w:r>
      <w:r>
        <w:br w:type="textWrapping"/>
      </w:r>
      <w:r>
        <w:rPr>
          <w:rFonts w:hint="default"/>
          <w:lang w:val="en-US"/>
        </w:rPr>
        <w:t xml:space="preserve">The </w:t>
      </w:r>
      <w:r>
        <w:t>Emperor of Syno Aurelius</w:t>
      </w:r>
    </w:p>
    <w:p w14:paraId="4362241D">
      <w:pPr>
        <w:jc w:val="center"/>
        <w:rPr>
          <w:rFonts w:hint="default"/>
          <w:lang w:val="en-US"/>
        </w:rPr>
      </w:pPr>
      <w:r>
        <w:t>Kar</w:t>
      </w:r>
      <w:r>
        <w:rPr>
          <w:rFonts w:hint="default"/>
        </w:rPr>
        <w:t>φ</w:t>
      </w:r>
      <w:r>
        <w:t xml:space="preserve">lys Ignatius </w:t>
      </w:r>
      <w:r>
        <w:rPr>
          <w:rFonts w:hint="default"/>
          <w:lang w:val="en-US"/>
        </w:rPr>
        <w:t>V</w:t>
      </w:r>
      <w:r>
        <w:t>on Lotharinge</w:t>
      </w:r>
      <w:r>
        <w:br w:type="textWrapping"/>
      </w:r>
      <w:r>
        <w:t>Grand Master of the Holy Order of Paladin Knights</w:t>
      </w:r>
      <w:r>
        <w:br w:type="textWrapping"/>
      </w:r>
      <w:r>
        <w:t>Sovereign Monarch and Founder</w:t>
      </w:r>
      <w:r>
        <w:rPr>
          <w:rFonts w:hint="default"/>
          <w:lang w:val="en-US"/>
        </w:rPr>
        <w:t xml:space="preserve"> of the Constitutional Monarchy of  Syno Aurelius</w:t>
      </w:r>
    </w:p>
    <w:p w14:paraId="66AD88FA">
      <w:pPr>
        <w:jc w:val="center"/>
        <w:rPr>
          <w:rFonts w:hint="default"/>
          <w:lang w:val="en-US"/>
        </w:rPr>
      </w:pPr>
      <w:r>
        <w:rPr>
          <w:rFonts w:hint="default"/>
          <w:lang w:val="en-US"/>
        </w:rPr>
        <w:t>Custodian of Monetary Sovereignty</w:t>
      </w:r>
    </w:p>
    <w:p w14:paraId="488BFFC2">
      <w:pPr>
        <w:jc w:val="center"/>
        <w:rPr>
          <w:rFonts w:hint="default"/>
          <w:lang w:val="en-US"/>
        </w:rPr>
      </w:pPr>
    </w:p>
    <w:p w14:paraId="6DEAC199">
      <w:pPr>
        <w:ind w:left="-600" w:leftChars="-300" w:firstLine="720" w:firstLineChars="0"/>
        <w:jc w:val="center"/>
        <w:rPr>
          <w:rFonts w:hint="default"/>
          <w:i/>
          <w:iCs/>
          <w:lang w:val="en-US"/>
        </w:rPr>
      </w:pPr>
      <w:r>
        <w:rPr>
          <w:rFonts w:hint="default"/>
          <w:i/>
          <w:iCs/>
          <w:lang w:val="en-US" w:eastAsia="zh-CN"/>
        </w:rPr>
        <w:t>Sigillum Regium Serenissimi Monarchae</w:t>
      </w:r>
    </w:p>
    <w:p w14:paraId="02DB8E5E">
      <w:pPr>
        <w:jc w:val="center"/>
      </w:pPr>
      <w:r>
        <w:rPr>
          <w:rFonts w:hint="default"/>
          <w:lang w:val="en-US"/>
        </w:rPr>
        <w:drawing>
          <wp:anchor distT="0" distB="0" distL="114300" distR="114300" simplePos="0" relativeHeight="251659264" behindDoc="1" locked="0" layoutInCell="1" allowOverlap="1">
            <wp:simplePos x="0" y="0"/>
            <wp:positionH relativeFrom="column">
              <wp:posOffset>1994535</wp:posOffset>
            </wp:positionH>
            <wp:positionV relativeFrom="paragraph">
              <wp:posOffset>70485</wp:posOffset>
            </wp:positionV>
            <wp:extent cx="1198880" cy="1130935"/>
            <wp:effectExtent l="0" t="0" r="0" b="12065"/>
            <wp:wrapNone/>
            <wp:docPr id="1" name="Picture 1" descr="Monarc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archs Seal"/>
                    <pic:cNvPicPr>
                      <a:picLocks noChangeAspect="1"/>
                    </pic:cNvPicPr>
                  </pic:nvPicPr>
                  <pic:blipFill>
                    <a:blip r:embed="rId7"/>
                    <a:stretch>
                      <a:fillRect/>
                    </a:stretch>
                  </pic:blipFill>
                  <pic:spPr>
                    <a:xfrm>
                      <a:off x="0" y="0"/>
                      <a:ext cx="1198880" cy="1130935"/>
                    </a:xfrm>
                    <a:prstGeom prst="rect">
                      <a:avLst/>
                    </a:prstGeom>
                  </pic:spPr>
                </pic:pic>
              </a:graphicData>
            </a:graphic>
          </wp:anchor>
        </w:drawing>
      </w:r>
    </w:p>
    <w:p w14:paraId="55F6F63D">
      <w:pPr>
        <w:jc w:val="center"/>
      </w:pPr>
    </w:p>
    <w:p w14:paraId="14DCAE99">
      <w:pPr>
        <w:jc w:val="center"/>
      </w:pPr>
      <w:bookmarkStart w:id="0" w:name="_GoBack"/>
      <w:bookmarkEnd w:id="0"/>
    </w:p>
    <w:p w14:paraId="2A5C008E">
      <w:pPr>
        <w:jc w:val="center"/>
      </w:pPr>
    </w:p>
    <w:p w14:paraId="3E9DD5CD">
      <w:pPr>
        <w:jc w:val="center"/>
        <w:rPr>
          <w:rFonts w:hint="default"/>
          <w:lang w:val="en-US"/>
        </w:rPr>
      </w:pPr>
      <w:r>
        <w:rPr>
          <w:rFonts w:hint="default"/>
          <w:lang w:val="en-US"/>
        </w:rPr>
        <w:drawing>
          <wp:anchor distT="0" distB="0" distL="114300" distR="114300" simplePos="0" relativeHeight="251660288" behindDoc="1" locked="0" layoutInCell="1" allowOverlap="1">
            <wp:simplePos x="0" y="0"/>
            <wp:positionH relativeFrom="column">
              <wp:posOffset>208915</wp:posOffset>
            </wp:positionH>
            <wp:positionV relativeFrom="paragraph">
              <wp:posOffset>59690</wp:posOffset>
            </wp:positionV>
            <wp:extent cx="1795145" cy="1148715"/>
            <wp:effectExtent l="0" t="0" r="14605" b="13335"/>
            <wp:wrapNone/>
            <wp:docPr id="2" name="Picture 2" descr="Monarc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narchs Signature"/>
                    <pic:cNvPicPr>
                      <a:picLocks noChangeAspect="1"/>
                    </pic:cNvPicPr>
                  </pic:nvPicPr>
                  <pic:blipFill>
                    <a:blip r:embed="rId8"/>
                    <a:stretch>
                      <a:fillRect/>
                    </a:stretch>
                  </pic:blipFill>
                  <pic:spPr>
                    <a:xfrm>
                      <a:off x="0" y="0"/>
                      <a:ext cx="1795145" cy="1148715"/>
                    </a:xfrm>
                    <a:prstGeom prst="rect">
                      <a:avLst/>
                    </a:prstGeom>
                  </pic:spPr>
                </pic:pic>
              </a:graphicData>
            </a:graphic>
          </wp:anchor>
        </w:drawing>
      </w:r>
    </w:p>
    <w:p w14:paraId="36A5EA00">
      <w:pPr>
        <w:jc w:val="center"/>
      </w:pPr>
    </w:p>
    <w:p w14:paraId="11A4A5E8">
      <w:pPr>
        <w:jc w:val="center"/>
      </w:pPr>
    </w:p>
    <w:p w14:paraId="4434D798">
      <w:pPr>
        <w:jc w:val="center"/>
        <w:rPr>
          <w:rFonts w:hint="default"/>
          <w:lang w:val="en-US"/>
        </w:rPr>
      </w:pPr>
    </w:p>
    <w:p w14:paraId="192489AC">
      <w:pPr>
        <w:jc w:val="center"/>
      </w:pPr>
    </w:p>
    <w:p w14:paraId="1A1609DB">
      <w:pPr>
        <w:jc w:val="center"/>
      </w:pPr>
      <w:r>
        <w:br w:type="textWrapping"/>
      </w:r>
    </w:p>
    <w:sectPr>
      <w:headerReference r:id="rId3" w:type="default"/>
      <w:footerReference r:id="rId4" w:type="default"/>
      <w:pgSz w:w="11906" w:h="16838"/>
      <w:pgMar w:top="1440" w:right="2306" w:bottom="1440" w:left="1800"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AF886">
    <w:pPr>
      <w:pStyle w:val="5"/>
      <w:jc w:val="cente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column">
                <wp:posOffset>4650105</wp:posOffset>
              </wp:positionH>
              <wp:positionV relativeFrom="paragraph">
                <wp:posOffset>-173990</wp:posOffset>
              </wp:positionV>
              <wp:extent cx="619125" cy="462280"/>
              <wp:effectExtent l="0" t="0" r="9525" b="13970"/>
              <wp:wrapNone/>
              <wp:docPr id="7" name="Text Box 7"/>
              <wp:cNvGraphicFramePr/>
              <a:graphic xmlns:a="http://schemas.openxmlformats.org/drawingml/2006/main">
                <a:graphicData uri="http://schemas.microsoft.com/office/word/2010/wordprocessingShape">
                  <wps:wsp>
                    <wps:cNvSpPr txBox="1"/>
                    <wps:spPr>
                      <a:xfrm>
                        <a:off x="5793105" y="9782175"/>
                        <a:ext cx="619125" cy="462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C1DFBA2">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6.15pt;margin-top:-13.7pt;height:36.4pt;width:48.75pt;z-index:251660288;mso-width-relative:page;mso-height-relative:page;" fillcolor="#FFFFFF [3201]" filled="t" stroked="f" coordsize="21600,21600" o:gfxdata="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6D1+3WAAAACgEAAA8AAAAAAAAA&#10;AQAgAAAAIgAAAGRycy9kb3ducmV2LnhtbFBLAQIUABQAAAAIAIdO4kBXcNlJTAIAAJkEAAAOAAAA&#10;AAAAAAEAIAAAACUBAABkcnMvZTJvRG9jLnhtbFBLBQYAAAAABgAGAFkBAADjBQAAAAA=&#10;">
              <v:fill on="t" focussize="0,0"/>
              <v:stroke on="f" weight="0.5pt"/>
              <v:imagedata o:title=""/>
              <o:lock v:ext="edit" aspectratio="f"/>
              <v:textbox>
                <w:txbxContent>
                  <w:p w14:paraId="1C1DFBA2">
                    <w:pPr>
                      <w:rPr>
                        <w:rFonts w:hint="default"/>
                        <w:lang w:val="en-US"/>
                      </w:rPr>
                    </w:pPr>
                  </w:p>
                </w:txbxContent>
              </v:textbox>
            </v:shape>
          </w:pict>
        </mc:Fallback>
      </mc:AlternateContent>
    </w:r>
    <w:r>
      <w:rPr>
        <w:rFonts w:hint="default"/>
        <w:lang w:val="en-US"/>
      </w:rPr>
      <w:t>THE CONSTITUTIONAL MONARCHY OF SYNO AURELIUS</w:t>
    </w:r>
  </w:p>
  <w:p w14:paraId="166AF269">
    <w:pPr>
      <w:pStyle w:val="5"/>
      <w:jc w:val="center"/>
      <w:rPr>
        <w:rFonts w:hint="default"/>
        <w:lang w:val="en-US"/>
      </w:rPr>
    </w:pPr>
    <w:r>
      <w:rPr>
        <w:rFonts w:hint="default"/>
        <w:lang w:val="en-US"/>
      </w:rPr>
      <w:t xml:space="preserve">State President: His Excellency Dr.Monja Roindefo Zafitisimivalo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BEBB0">
    <w:pPr>
      <w:pStyle w:val="6"/>
      <w:jc w:val="center"/>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81DB">
                          <w:pPr>
                            <w:pStyle w:val="6"/>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VlT4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VVlT4hAgAA&#10;YgQAAA4AAAAAAAAAAQAgAAAAHwEAAGRycy9lMm9Eb2MueG1sUEsFBgAAAAAGAAYAWQEAALIFAAAA&#10;AA==&#10;">
              <v:fill on="f" focussize="0,0"/>
              <v:stroke on="f" weight="0.5pt"/>
              <v:imagedata o:title=""/>
              <o:lock v:ext="edit" aspectratio="f"/>
              <v:textbox inset="0mm,0mm,0mm,0mm" style="mso-fit-shape-to-text:t;">
                <w:txbxContent>
                  <w:p w14:paraId="4F8C81DB">
                    <w:pPr>
                      <w:pStyle w:val="6"/>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p>
                </w:txbxContent>
              </v:textbox>
            </v:shape>
          </w:pict>
        </mc:Fallback>
      </mc:AlternateContent>
    </w:r>
    <w:r>
      <w:rPr>
        <w:sz w:val="18"/>
      </w:rPr>
      <w:drawing>
        <wp:inline distT="0" distB="0" distL="114300" distR="114300">
          <wp:extent cx="1057275" cy="1143000"/>
          <wp:effectExtent l="0" t="0" r="9525" b="0"/>
          <wp:docPr id="9" name="Picture 9" descr="syno Aurel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yno Aurelius"/>
                  <pic:cNvPicPr>
                    <a:picLocks noChangeAspect="1"/>
                  </pic:cNvPicPr>
                </pic:nvPicPr>
                <pic:blipFill>
                  <a:blip r:embed="rId1"/>
                  <a:stretch>
                    <a:fillRect/>
                  </a:stretch>
                </pic:blipFill>
                <pic:spPr>
                  <a:xfrm>
                    <a:off x="0" y="0"/>
                    <a:ext cx="1057275" cy="1143000"/>
                  </a:xfrm>
                  <a:prstGeom prst="rect">
                    <a:avLst/>
                  </a:prstGeom>
                </pic:spPr>
              </pic:pic>
            </a:graphicData>
          </a:graphic>
        </wp:inline>
      </w:drawing>
    </w:r>
  </w:p>
  <w:p w14:paraId="40F29540">
    <w:pPr>
      <w:pStyle w:val="6"/>
      <w:jc w:val="center"/>
      <w:rPr>
        <w:sz w:val="18"/>
      </w:rPr>
    </w:pPr>
    <w:r>
      <w:rPr>
        <w:sz w:val="18"/>
      </w:rPr>
      <mc:AlternateContent>
        <mc:Choice Requires="wps">
          <w:drawing>
            <wp:anchor distT="0" distB="0" distL="114300" distR="114300" simplePos="0" relativeHeight="251661312" behindDoc="0" locked="0" layoutInCell="1" allowOverlap="1">
              <wp:simplePos x="0" y="0"/>
              <wp:positionH relativeFrom="column">
                <wp:posOffset>1557020</wp:posOffset>
              </wp:positionH>
              <wp:positionV relativeFrom="paragraph">
                <wp:posOffset>24765</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B1200">
                          <w:pPr>
                            <w:rPr>
                              <w:rFonts w:hint="default"/>
                              <w:lang w:val="en-US"/>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22.6pt;margin-top:1.95pt;height:144pt;width:144pt;mso-wrap-style:none;z-index:251661312;mso-width-relative:page;mso-height-relative:page;" filled="f" stroked="f" coordsize="21600,21600" o:gfxdata="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r&#10;BITh1wAAAAkBAAAPAAAAAAAAAAEAIAAAACIAAABkcnMvZG93bnJldi54bWxQSwECFAAUAAAACACH&#10;TuJACmBgISUCAABmBAAADgAAAAAAAAABACAAAAAmAQAAZHJzL2Uyb0RvYy54bWxQSwUGAAAAAAYA&#10;BgBZAQAAvQUAAAAA&#10;">
              <v:fill on="f" focussize="0,0"/>
              <v:stroke on="f" weight="0.5pt"/>
              <v:imagedata o:title=""/>
              <o:lock v:ext="edit" aspectratio="f"/>
              <v:textbox style="mso-fit-shape-to-text:t;">
                <w:txbxContent>
                  <w:p w14:paraId="289B1200">
                    <w:pPr>
                      <w:rPr>
                        <w:rFonts w:hint="default"/>
                        <w:lang w:val="en-US"/>
                      </w:rPr>
                    </w:pPr>
                  </w:p>
                </w:txbxContent>
              </v:textbox>
            </v:shape>
          </w:pict>
        </mc:Fallback>
      </mc:AlternateContent>
    </w:r>
  </w:p>
  <w:p w14:paraId="4EF07FB9">
    <w:pPr>
      <w:pStyle w:val="6"/>
      <w:jc w:val="center"/>
      <w:rPr>
        <w:rFonts w:hint="default"/>
        <w:b/>
        <w:bCs/>
        <w:sz w:val="44"/>
        <w:szCs w:val="44"/>
        <w:lang w:val="en-US"/>
      </w:rPr>
    </w:pPr>
    <w:r>
      <w:rPr>
        <w:rFonts w:hint="default"/>
        <w:b/>
        <w:bCs/>
        <w:sz w:val="44"/>
        <w:szCs w:val="44"/>
        <w:lang w:val="en-US"/>
      </w:rPr>
      <w:t>SYNO AURELIUS</w:t>
    </w:r>
  </w:p>
  <w:p w14:paraId="5398FEB7">
    <w:pPr>
      <w:pStyle w:val="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59F62"/>
    <w:multiLevelType w:val="singleLevel"/>
    <w:tmpl w:val="9FC59F62"/>
    <w:lvl w:ilvl="0" w:tentative="0">
      <w:start w:val="1"/>
      <w:numFmt w:val="decimal"/>
      <w:lvlText w:val="%1."/>
      <w:lvlJc w:val="left"/>
      <w:pPr>
        <w:tabs>
          <w:tab w:val="left" w:pos="425"/>
        </w:tabs>
        <w:ind w:left="425" w:leftChars="0" w:hanging="425" w:firstLineChars="0"/>
      </w:pPr>
      <w:rPr>
        <w:rFonts w:hint="default"/>
      </w:rPr>
    </w:lvl>
  </w:abstractNum>
  <w:abstractNum w:abstractNumId="1">
    <w:nsid w:val="B29BD5AF"/>
    <w:multiLevelType w:val="singleLevel"/>
    <w:tmpl w:val="B29BD5AF"/>
    <w:lvl w:ilvl="0" w:tentative="0">
      <w:start w:val="1"/>
      <w:numFmt w:val="decimal"/>
      <w:lvlText w:val="%1."/>
      <w:lvlJc w:val="left"/>
      <w:pPr>
        <w:tabs>
          <w:tab w:val="left" w:pos="425"/>
        </w:tabs>
        <w:ind w:left="425" w:leftChars="0" w:hanging="425" w:firstLineChars="0"/>
      </w:pPr>
      <w:rPr>
        <w:rFonts w:hint="default"/>
      </w:rPr>
    </w:lvl>
  </w:abstractNum>
  <w:abstractNum w:abstractNumId="2">
    <w:nsid w:val="BD99A29F"/>
    <w:multiLevelType w:val="singleLevel"/>
    <w:tmpl w:val="BD99A29F"/>
    <w:lvl w:ilvl="0" w:tentative="0">
      <w:start w:val="1"/>
      <w:numFmt w:val="decimal"/>
      <w:lvlText w:val="%1."/>
      <w:lvlJc w:val="left"/>
      <w:pPr>
        <w:tabs>
          <w:tab w:val="left" w:pos="425"/>
        </w:tabs>
        <w:ind w:left="425" w:leftChars="0" w:hanging="425" w:firstLineChars="0"/>
      </w:pPr>
      <w:rPr>
        <w:rFonts w:hint="default"/>
      </w:rPr>
    </w:lvl>
  </w:abstractNum>
  <w:abstractNum w:abstractNumId="3">
    <w:nsid w:val="EEF0E1B6"/>
    <w:multiLevelType w:val="singleLevel"/>
    <w:tmpl w:val="EEF0E1B6"/>
    <w:lvl w:ilvl="0" w:tentative="0">
      <w:start w:val="1"/>
      <w:numFmt w:val="decimal"/>
      <w:lvlText w:val="%1."/>
      <w:lvlJc w:val="left"/>
      <w:pPr>
        <w:tabs>
          <w:tab w:val="left" w:pos="425"/>
        </w:tabs>
        <w:ind w:left="425" w:leftChars="0" w:hanging="425" w:firstLineChars="0"/>
      </w:pPr>
      <w:rPr>
        <w:rFonts w:hint="default"/>
      </w:rPr>
    </w:lvl>
  </w:abstractNum>
  <w:abstractNum w:abstractNumId="4">
    <w:nsid w:val="F5951A7B"/>
    <w:multiLevelType w:val="singleLevel"/>
    <w:tmpl w:val="F5951A7B"/>
    <w:lvl w:ilvl="0" w:tentative="0">
      <w:start w:val="1"/>
      <w:numFmt w:val="decimal"/>
      <w:lvlText w:val="%1."/>
      <w:lvlJc w:val="left"/>
      <w:pPr>
        <w:tabs>
          <w:tab w:val="left" w:pos="425"/>
        </w:tabs>
        <w:ind w:left="425" w:leftChars="0" w:hanging="425" w:firstLineChars="0"/>
      </w:pPr>
      <w:rPr>
        <w:rFonts w:hint="default"/>
      </w:rPr>
    </w:lvl>
  </w:abstractNum>
  <w:abstractNum w:abstractNumId="5">
    <w:nsid w:val="FAF42211"/>
    <w:multiLevelType w:val="singleLevel"/>
    <w:tmpl w:val="FAF42211"/>
    <w:lvl w:ilvl="0" w:tentative="0">
      <w:start w:val="1"/>
      <w:numFmt w:val="decimal"/>
      <w:lvlText w:val="%1."/>
      <w:lvlJc w:val="left"/>
      <w:pPr>
        <w:tabs>
          <w:tab w:val="left" w:pos="425"/>
        </w:tabs>
        <w:ind w:left="425" w:leftChars="0" w:hanging="425" w:firstLineChars="0"/>
      </w:pPr>
      <w:rPr>
        <w:rFonts w:hint="default"/>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42B78"/>
    <w:rsid w:val="138736C3"/>
    <w:rsid w:val="13B8150B"/>
    <w:rsid w:val="29042B78"/>
    <w:rsid w:val="4B0F0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paragraph" w:styleId="7">
    <w:name w:val="Normal (Web)"/>
    <w:basedOn w:val="1"/>
    <w:qFormat/>
    <w:uiPriority w:val="0"/>
    <w:rPr>
      <w:sz w:val="24"/>
      <w:szCs w:val="24"/>
    </w:rPr>
  </w:style>
  <w:style w:type="character" w:styleId="8">
    <w:name w:val="Strong"/>
    <w:basedOn w:val="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617</Words>
  <Characters>3568</Characters>
  <Lines>0</Lines>
  <Paragraphs>0</Paragraphs>
  <TotalTime>5</TotalTime>
  <ScaleCrop>false</ScaleCrop>
  <LinksUpToDate>false</LinksUpToDate>
  <CharactersWithSpaces>4137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2025-04-22T10:12:00Z</dcterms:created>
  <dc:creator>MONARCH</dc:creator>
  <cp:lastModifiedBy>Luke Lottering</cp:lastModifiedBy>
  <dcterms:modified xsi:type="dcterms:W3CDTF">2025-09-21T08:01:59Z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ADABF574A1A84C19B54CB03837186824_13</vt:lpwstr>
  </property>
</Properties>
</file>