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21AFF6">
      <w:pPr>
        <w:jc w:val="both"/>
      </w:pPr>
    </w:p>
    <w:p w14:paraId="4BA4FD4F">
      <w:pPr>
        <w:jc w:val="center"/>
        <w:rPr>
          <w:b/>
          <w:bCs/>
          <w:sz w:val="32"/>
          <w:szCs w:val="32"/>
        </w:rPr>
      </w:pPr>
      <w:r>
        <w:rPr>
          <w:b/>
          <w:bCs/>
          <w:sz w:val="32"/>
          <w:szCs w:val="32"/>
        </w:rPr>
        <w:t>LEGAL JUSTIFICATION FOR THE EXISTENCE OF SYN0 AURELIUS: A COMPREHENSIVE LEGAL FRAMEWORK</w:t>
      </w:r>
    </w:p>
    <w:p w14:paraId="0D5DE640">
      <w:pPr>
        <w:jc w:val="both"/>
      </w:pPr>
    </w:p>
    <w:p w14:paraId="5A7088CE">
      <w:pPr>
        <w:jc w:val="both"/>
      </w:pPr>
    </w:p>
    <w:p w14:paraId="36BBA788">
      <w:pPr>
        <w:jc w:val="both"/>
        <w:rPr>
          <w:b/>
          <w:bCs/>
        </w:rPr>
      </w:pPr>
      <w:r>
        <w:rPr>
          <w:b/>
          <w:bCs/>
        </w:rPr>
        <w:t>1. International Law Supporting the Foundation of Syno Aurelius</w:t>
      </w:r>
    </w:p>
    <w:p w14:paraId="5F004363">
      <w:pPr>
        <w:jc w:val="both"/>
      </w:pPr>
      <w:r>
        <w:t>International law provides the essential foundation for recognizing new states or entities within the global system, emphasizing sovereignty, self-determination, and the principles of non-interference. The United Nations Charter (1945) recognizes the right of all peoples to self-determination, including the freedom to determine their political, economic, social, and cultural development:</w:t>
      </w:r>
    </w:p>
    <w:p w14:paraId="64B6AA40">
      <w:pPr>
        <w:jc w:val="both"/>
        <w:rPr>
          <w:rFonts w:hint="eastAsia"/>
        </w:rPr>
      </w:pPr>
    </w:p>
    <w:p w14:paraId="3094A64C">
      <w:pPr>
        <w:jc w:val="both"/>
        <w:rPr>
          <w:b/>
          <w:bCs/>
          <w:i/>
          <w:iCs/>
        </w:rPr>
      </w:pPr>
      <w:r>
        <w:rPr>
          <w:rFonts w:hint="eastAsia"/>
          <w:b/>
          <w:bCs/>
          <w:i/>
          <w:iCs/>
        </w:rPr>
        <w:t>"All peoples have the right of self-determination. By virtue of that right they freely determine their political status and freely pursue their economic, social and cultural development." — United Nations Charter, Article 1(2).</w:t>
      </w:r>
    </w:p>
    <w:p w14:paraId="320C4DC7">
      <w:pPr>
        <w:jc w:val="both"/>
      </w:pPr>
    </w:p>
    <w:p w14:paraId="23E2A769">
      <w:pPr>
        <w:jc w:val="both"/>
      </w:pPr>
      <w:r>
        <w:t xml:space="preserve">Syno Aurelius, as a digital </w:t>
      </w:r>
      <w:r>
        <w:rPr>
          <w:lang w:val="en-US"/>
        </w:rPr>
        <w:t>micro nation</w:t>
      </w:r>
      <w:r>
        <w:t>, fits within this context, asserting its right to exist and develop as an autonomous society, free from external interference, grounded in the principles of digital sovereignty and self-determination.</w:t>
      </w:r>
    </w:p>
    <w:p w14:paraId="5520A99D">
      <w:pPr>
        <w:jc w:val="both"/>
      </w:pPr>
    </w:p>
    <w:p w14:paraId="6483AD79">
      <w:pPr>
        <w:jc w:val="both"/>
        <w:rPr>
          <w:b/>
          <w:bCs/>
        </w:rPr>
      </w:pPr>
      <w:r>
        <w:rPr>
          <w:b/>
          <w:bCs/>
        </w:rPr>
        <w:t>2. International Treaties Supporting the Creation of Syno Aurelius</w:t>
      </w:r>
    </w:p>
    <w:p w14:paraId="22EB724C">
      <w:pPr>
        <w:jc w:val="both"/>
      </w:pPr>
      <w:r>
        <w:t>International treaties are central in framing the legal rights and obligations of states and other entities within the global order. The Treaty on the European Union (TEU, 1992) and the Vienna Convention on the Law of Treaties (1969) provide that states (or their equivalents) have the right to negotiate treaties, assert sovereignty, and recognize other entities as sovereign:</w:t>
      </w:r>
    </w:p>
    <w:p w14:paraId="1DBF40C5">
      <w:pPr>
        <w:jc w:val="both"/>
        <w:rPr>
          <w:rFonts w:hint="eastAsia"/>
        </w:rPr>
      </w:pPr>
    </w:p>
    <w:p w14:paraId="04E67C23">
      <w:pPr>
        <w:jc w:val="both"/>
        <w:rPr>
          <w:b/>
          <w:bCs/>
          <w:i/>
          <w:iCs/>
        </w:rPr>
      </w:pPr>
      <w:r>
        <w:rPr>
          <w:rFonts w:hint="eastAsia"/>
          <w:b/>
          <w:bCs/>
          <w:i/>
          <w:iCs/>
        </w:rPr>
        <w:t>"Every treaty in force is binding upon the parties to it and must be performed by them in good faith." — Vienna Convention on the Law of Treaties, Article 26.</w:t>
      </w:r>
    </w:p>
    <w:p w14:paraId="7843CD01">
      <w:pPr>
        <w:jc w:val="both"/>
      </w:pPr>
    </w:p>
    <w:p w14:paraId="7F22B05A">
      <w:pPr>
        <w:jc w:val="both"/>
      </w:pPr>
      <w:r>
        <w:t>Syno Aurelius, by engaging in treaty negotiations with other nations or entities, can secure recognition and protection for its sovereignty and its citizens' rights, building legal standing within international legal frameworks.</w:t>
      </w:r>
    </w:p>
    <w:p w14:paraId="33271A63">
      <w:pPr>
        <w:jc w:val="both"/>
      </w:pPr>
    </w:p>
    <w:p w14:paraId="7276365A">
      <w:pPr>
        <w:jc w:val="both"/>
        <w:rPr>
          <w:b/>
          <w:bCs/>
        </w:rPr>
      </w:pPr>
      <w:r>
        <w:rPr>
          <w:b/>
          <w:bCs/>
        </w:rPr>
        <w:t>3. International Conventions Supporting the Creation of Syno Aurelius</w:t>
      </w:r>
    </w:p>
    <w:p w14:paraId="5764A3A4">
      <w:pPr>
        <w:jc w:val="both"/>
      </w:pPr>
      <w:r>
        <w:t>Conventions, such as the Geneva Conventions (1949) and various human rights treaties, lay down the parameters for how nations and entities interact with one another. These documents are essential for establishing norms regarding human dignity, rights, and humanitarian action. Syno Aurelius can leverage these conventions to ensure the protection of its citizens and their rights, both within the digital world and across international borders:</w:t>
      </w:r>
    </w:p>
    <w:p w14:paraId="2AE43939">
      <w:pPr>
        <w:jc w:val="both"/>
        <w:rPr>
          <w:rFonts w:hint="eastAsia"/>
        </w:rPr>
      </w:pPr>
    </w:p>
    <w:p w14:paraId="74CA755F">
      <w:pPr>
        <w:jc w:val="both"/>
        <w:rPr>
          <w:b/>
          <w:bCs/>
          <w:i/>
          <w:iCs/>
        </w:rPr>
      </w:pPr>
      <w:r>
        <w:rPr>
          <w:rFonts w:hint="eastAsia"/>
          <w:b/>
          <w:bCs/>
          <w:i/>
          <w:iCs/>
        </w:rPr>
        <w:t>“The Convention relative to the Protection of Civilian Persons in Time of War” — Geneva Convention IV (1949).</w:t>
      </w:r>
    </w:p>
    <w:p w14:paraId="243EBB2E">
      <w:pPr>
        <w:jc w:val="both"/>
      </w:pPr>
    </w:p>
    <w:p w14:paraId="22A43DBB">
      <w:pPr>
        <w:jc w:val="both"/>
      </w:pPr>
      <w:r>
        <w:t>By adhering to international conventions, Syno Aurelius can ensure that its citizens’ rights are safeguarded while contributing to global peace and humanitarian efforts.</w:t>
      </w:r>
    </w:p>
    <w:p w14:paraId="2425E160">
      <w:pPr>
        <w:jc w:val="both"/>
      </w:pPr>
    </w:p>
    <w:p w14:paraId="17DB8405">
      <w:pPr>
        <w:jc w:val="both"/>
        <w:rPr>
          <w:b/>
          <w:bCs/>
        </w:rPr>
      </w:pPr>
      <w:r>
        <w:rPr>
          <w:b/>
          <w:bCs/>
        </w:rPr>
        <w:t>4. The International Accords Supporting the Existence of Syno Aurelius</w:t>
      </w:r>
    </w:p>
    <w:p w14:paraId="483BA0A7">
      <w:pPr>
        <w:jc w:val="both"/>
      </w:pPr>
      <w:r>
        <w:t>International accords, such as the Accord on the International Criminal Court (1998), deal with jurisdiction, rights, and obligations of entities in the realm of justice and the rule of law. These frameworks are indispensable for ensuring that new nations or entities like Syno Aurelius can engage with and contribute to international peace, law enforcement, and dispute resolution:</w:t>
      </w:r>
    </w:p>
    <w:p w14:paraId="233C9D48">
      <w:pPr>
        <w:jc w:val="both"/>
        <w:rPr>
          <w:b/>
          <w:bCs/>
          <w:i/>
          <w:iCs/>
        </w:rPr>
      </w:pPr>
      <w:r>
        <w:rPr>
          <w:rFonts w:hint="eastAsia"/>
          <w:b/>
          <w:bCs/>
          <w:i/>
          <w:iCs/>
        </w:rPr>
        <w:t>"The International Criminal Court is established to ensure that the most serious crimes of concern to the international community as a whole do not go unpunished." — Rome Statute of the International Criminal Court.</w:t>
      </w:r>
    </w:p>
    <w:p w14:paraId="66EFEF7A">
      <w:pPr>
        <w:jc w:val="both"/>
      </w:pPr>
    </w:p>
    <w:p w14:paraId="4049C74A">
      <w:pPr>
        <w:jc w:val="both"/>
      </w:pPr>
      <w:r>
        <w:t>Syno Aurelius' engagement in these frameworks positions it as a legitimate and active player in global governance, capable of contributing to the international system of justice.</w:t>
      </w:r>
    </w:p>
    <w:p w14:paraId="225115AE">
      <w:pPr>
        <w:jc w:val="both"/>
      </w:pPr>
    </w:p>
    <w:p w14:paraId="1435A8EE">
      <w:pPr>
        <w:jc w:val="both"/>
        <w:rPr>
          <w:b/>
          <w:bCs/>
        </w:rPr>
      </w:pPr>
      <w:r>
        <w:rPr>
          <w:b/>
          <w:bCs/>
        </w:rPr>
        <w:t>5. The International Declarations Supporting the Existence of Syno Aurelius</w:t>
      </w:r>
    </w:p>
    <w:p w14:paraId="446BAEF3">
      <w:pPr>
        <w:jc w:val="both"/>
      </w:pPr>
      <w:r>
        <w:t>Declarations such as the Universal Declaration of Human Rights (1948) enshrine the rights of individuals to freedom, self-expression, and association, all of which support the underlying mission of Syno Aurelius. The rights to participate in governance, engage in economic and social activity, and establish a community based on shared ideals are fundamentally protected under these declarations:</w:t>
      </w:r>
    </w:p>
    <w:p w14:paraId="08490C0E">
      <w:pPr>
        <w:jc w:val="both"/>
        <w:rPr>
          <w:rFonts w:hint="eastAsia"/>
        </w:rPr>
      </w:pPr>
    </w:p>
    <w:p w14:paraId="59BDCD53">
      <w:pPr>
        <w:jc w:val="both"/>
        <w:rPr>
          <w:b/>
          <w:bCs/>
          <w:i/>
          <w:iCs/>
        </w:rPr>
      </w:pPr>
      <w:r>
        <w:rPr>
          <w:rFonts w:hint="eastAsia"/>
          <w:b/>
          <w:bCs/>
          <w:i/>
          <w:iCs/>
        </w:rPr>
        <w:t>"All human beings are born free and equal in dignity and rights." — Universal Declaration of Human Rights, Article 1.</w:t>
      </w:r>
    </w:p>
    <w:p w14:paraId="5EE06DB8">
      <w:pPr>
        <w:jc w:val="both"/>
      </w:pPr>
    </w:p>
    <w:p w14:paraId="670CAD38">
      <w:pPr>
        <w:jc w:val="both"/>
      </w:pPr>
      <w:r>
        <w:t>Syno Aurelius' founding principles align with these rights, advocating for self-determination, the right to belong to a nation of shared ideals, and the pursuit of happiness within a sovereign digital framework.</w:t>
      </w:r>
    </w:p>
    <w:p w14:paraId="72298AB2">
      <w:pPr>
        <w:jc w:val="both"/>
      </w:pPr>
    </w:p>
    <w:p w14:paraId="60734BB6">
      <w:pPr>
        <w:jc w:val="both"/>
        <w:rPr>
          <w:b/>
          <w:bCs/>
        </w:rPr>
      </w:pPr>
      <w:r>
        <w:rPr>
          <w:b/>
          <w:bCs/>
        </w:rPr>
        <w:t>6. The International Doctrines Supporting the Existence of Syno Aurelius</w:t>
      </w:r>
    </w:p>
    <w:p w14:paraId="3E5051DD">
      <w:pPr>
        <w:jc w:val="both"/>
      </w:pPr>
      <w:r>
        <w:t>International doctrines such as Self-Determination, Digital Sovereignty, and Cyberlaw have evolved over the last few decades, offering a pathway for new forms of gover</w:t>
      </w:r>
      <w:bookmarkStart w:id="0" w:name="_GoBack"/>
      <w:bookmarkEnd w:id="0"/>
      <w:r>
        <w:t>nance, especially in the digital age. These doctrines argue that sovereignty is not confined to traditional territorial boundaries but can extend to virtual entities and digital nations:</w:t>
      </w:r>
    </w:p>
    <w:p w14:paraId="7E0673B9">
      <w:pPr>
        <w:jc w:val="both"/>
        <w:rPr>
          <w:rFonts w:hint="eastAsia"/>
        </w:rPr>
      </w:pPr>
    </w:p>
    <w:p w14:paraId="7B845891">
      <w:pPr>
        <w:jc w:val="both"/>
        <w:rPr>
          <w:b/>
          <w:bCs/>
          <w:i/>
          <w:iCs/>
        </w:rPr>
      </w:pPr>
      <w:r>
        <w:rPr>
          <w:rFonts w:hint="eastAsia"/>
          <w:b/>
          <w:bCs/>
          <w:i/>
          <w:iCs/>
        </w:rPr>
        <w:t>“Digital sovereignty refers to the ability of individuals and entities to exercise autonomy and control over their digital infrastructure, information, and governance.” — Digital Sovereignty and the Future of Nations.</w:t>
      </w:r>
    </w:p>
    <w:p w14:paraId="46E76C79">
      <w:pPr>
        <w:jc w:val="both"/>
      </w:pPr>
    </w:p>
    <w:p w14:paraId="05029987">
      <w:pPr>
        <w:jc w:val="both"/>
      </w:pPr>
      <w:r>
        <w:t>The doctrines surrounding digital sovereignty justify Syno Aurelius' existence, as it navigates the intersection of technology, self-determination, and international law.</w:t>
      </w:r>
    </w:p>
    <w:p w14:paraId="40519523">
      <w:pPr>
        <w:jc w:val="both"/>
      </w:pPr>
    </w:p>
    <w:p w14:paraId="59137F59">
      <w:pPr>
        <w:jc w:val="both"/>
        <w:rPr>
          <w:b/>
          <w:bCs/>
        </w:rPr>
      </w:pPr>
      <w:r>
        <w:rPr>
          <w:b/>
          <w:bCs/>
        </w:rPr>
        <w:t>7. The International Resolutions Supporting the Existence of Syno Aurelius</w:t>
      </w:r>
    </w:p>
    <w:p w14:paraId="1AFCC923">
      <w:pPr>
        <w:jc w:val="both"/>
      </w:pPr>
      <w:r>
        <w:t>Resolutions by international organizations, such as the United Nations General Assembly Resolutions (1970), have provided a framework for the peaceful coexistence of entities within a global system. These resolutions advocate for respect for sovereignty, the principle of non-intervention, and the recognition of emerging entities as participants in the international order:</w:t>
      </w:r>
    </w:p>
    <w:p w14:paraId="265BAF05">
      <w:pPr>
        <w:jc w:val="both"/>
        <w:rPr>
          <w:rFonts w:hint="eastAsia"/>
        </w:rPr>
      </w:pPr>
    </w:p>
    <w:p w14:paraId="16EDD9C2">
      <w:pPr>
        <w:jc w:val="both"/>
        <w:rPr>
          <w:b/>
          <w:bCs/>
          <w:i/>
          <w:iCs/>
        </w:rPr>
      </w:pPr>
      <w:r>
        <w:rPr>
          <w:rFonts w:hint="eastAsia"/>
          <w:b/>
          <w:bCs/>
          <w:i/>
          <w:iCs/>
        </w:rPr>
        <w:t>"The Declaration on Principles of International Law concerning Friendly Relations and Cooperation among States in accordance with the Charter of the United Nations." — United Nations General Assembly Resolution 2625 (XXV).</w:t>
      </w:r>
    </w:p>
    <w:p w14:paraId="68B0F4D8">
      <w:pPr>
        <w:jc w:val="both"/>
      </w:pPr>
    </w:p>
    <w:p w14:paraId="347CED68">
      <w:pPr>
        <w:jc w:val="both"/>
      </w:pPr>
      <w:r>
        <w:t>By aligning with these resolutions, Syno Aurelius can assert its right to exist within the global community of nations and claim its place in global discourse, diplomacy, and trade.</w:t>
      </w:r>
    </w:p>
    <w:p w14:paraId="4EDA1B51">
      <w:pPr>
        <w:jc w:val="both"/>
      </w:pPr>
    </w:p>
    <w:p w14:paraId="64B20597">
      <w:pPr>
        <w:jc w:val="both"/>
        <w:rPr>
          <w:b/>
          <w:bCs/>
        </w:rPr>
      </w:pPr>
      <w:r>
        <w:rPr>
          <w:b/>
          <w:bCs/>
        </w:rPr>
        <w:t>8. The International Charters Supporting the Existence of Syno Aurelius</w:t>
      </w:r>
    </w:p>
    <w:p w14:paraId="35B39171">
      <w:pPr>
        <w:jc w:val="both"/>
      </w:pPr>
      <w:r>
        <w:t>Charters such as the Charter of the Organization of American States (1948) and the European Charter of Local Self-Government (1985) recognize the right of communities, both traditional and modern, to self-governance and the pursuit of collective will. These charters provide a legal basis for Syno Aurelius to assert its digital and governance rights as a member of the international community:</w:t>
      </w:r>
    </w:p>
    <w:p w14:paraId="240B0383">
      <w:pPr>
        <w:jc w:val="both"/>
        <w:rPr>
          <w:rFonts w:hint="eastAsia"/>
        </w:rPr>
      </w:pPr>
    </w:p>
    <w:p w14:paraId="316C4083">
      <w:pPr>
        <w:jc w:val="both"/>
        <w:rPr>
          <w:rFonts w:hint="eastAsia"/>
        </w:rPr>
      </w:pPr>
    </w:p>
    <w:p w14:paraId="142495A1">
      <w:pPr>
        <w:jc w:val="both"/>
        <w:rPr>
          <w:rFonts w:hint="eastAsia"/>
        </w:rPr>
      </w:pPr>
    </w:p>
    <w:p w14:paraId="73033408">
      <w:pPr>
        <w:jc w:val="both"/>
        <w:rPr>
          <w:rFonts w:hint="eastAsia"/>
        </w:rPr>
      </w:pPr>
    </w:p>
    <w:p w14:paraId="29667310">
      <w:pPr>
        <w:jc w:val="both"/>
        <w:rPr>
          <w:b/>
          <w:bCs/>
          <w:i/>
          <w:iCs/>
        </w:rPr>
      </w:pPr>
      <w:r>
        <w:rPr>
          <w:rFonts w:hint="eastAsia"/>
          <w:b/>
          <w:bCs/>
          <w:i/>
          <w:iCs/>
        </w:rPr>
        <w:t>"The peoples of the Americas have the right to develop their own culture and society in freedom and to choose their form of government." — Charter of the Organization of American States, Article 1.</w:t>
      </w:r>
    </w:p>
    <w:p w14:paraId="78ADD79C">
      <w:pPr>
        <w:jc w:val="both"/>
      </w:pPr>
    </w:p>
    <w:p w14:paraId="10386D2C">
      <w:pPr>
        <w:jc w:val="both"/>
        <w:rPr>
          <w:b/>
          <w:bCs/>
        </w:rPr>
      </w:pPr>
      <w:r>
        <w:rPr>
          <w:b/>
          <w:bCs/>
        </w:rPr>
        <w:t>9. The International Protocols Supporting the Existence of Syno Aurelius</w:t>
      </w:r>
    </w:p>
    <w:p w14:paraId="6C4CC542">
      <w:pPr>
        <w:jc w:val="both"/>
      </w:pPr>
      <w:r>
        <w:t>International protocols, such as the Protocol to the African Charter on Human and Peoples' Rights on the Rights of Women in Africa (2003), offer legal protection for the rights and autonomy of peoples within new or emerging entities. These protocols validate the existence of Syno Aurelius as a digital polity advocating for gender equality, peace, and collective prosperity.</w:t>
      </w:r>
    </w:p>
    <w:p w14:paraId="44C930CB">
      <w:pPr>
        <w:jc w:val="both"/>
      </w:pPr>
    </w:p>
    <w:p w14:paraId="78AB347D">
      <w:pPr>
        <w:jc w:val="both"/>
        <w:rPr>
          <w:b/>
          <w:bCs/>
        </w:rPr>
      </w:pPr>
      <w:r>
        <w:rPr>
          <w:b/>
          <w:bCs/>
        </w:rPr>
        <w:t>10. The International Agreements Supporting Syno Aurelius</w:t>
      </w:r>
    </w:p>
    <w:p w14:paraId="1EF56CB7">
      <w:pPr>
        <w:jc w:val="both"/>
      </w:pPr>
      <w:r>
        <w:t>Syno Aurelius can enter into international agreements for cooperation, trade, and cultural exchange under the auspices of recognized global frameworks like the World Trade Organization (WTO) and International Monetary Fund (IMF):</w:t>
      </w:r>
    </w:p>
    <w:p w14:paraId="42DBC2D8">
      <w:pPr>
        <w:jc w:val="both"/>
        <w:rPr>
          <w:rFonts w:hint="eastAsia"/>
        </w:rPr>
      </w:pPr>
    </w:p>
    <w:p w14:paraId="2FBA045B">
      <w:pPr>
        <w:jc w:val="both"/>
        <w:rPr>
          <w:b/>
          <w:bCs/>
        </w:rPr>
      </w:pPr>
      <w:r>
        <w:rPr>
          <w:rFonts w:hint="eastAsia"/>
          <w:b/>
          <w:bCs/>
        </w:rPr>
        <w:t>"The WTO aims to help producers of goods and services, exporters, and importers conduct their business." — World Trade Organization (WTO) Agreement.</w:t>
      </w:r>
    </w:p>
    <w:p w14:paraId="68B03CF8">
      <w:pPr>
        <w:jc w:val="both"/>
      </w:pPr>
    </w:p>
    <w:p w14:paraId="512581E9">
      <w:pPr>
        <w:jc w:val="both"/>
        <w:rPr>
          <w:b/>
          <w:bCs/>
        </w:rPr>
      </w:pPr>
      <w:r>
        <w:rPr>
          <w:b/>
          <w:bCs/>
        </w:rPr>
        <w:t>11. Academic Support: International Politics, Political Science, and Ontology</w:t>
      </w:r>
    </w:p>
    <w:p w14:paraId="41F110E4">
      <w:pPr>
        <w:jc w:val="both"/>
      </w:pPr>
      <w:r>
        <w:t>Academics like Thomas Hobbes and Jean-Jacques Rousseau assert that the fundamental nature of human beings is to form societies and governments. More recent scholars, such as David Held and John Rawls, have explored the legitimacy of emerging digital polities within a globalized and interdependent world:</w:t>
      </w:r>
    </w:p>
    <w:p w14:paraId="58F3FA3F">
      <w:pPr>
        <w:jc w:val="both"/>
        <w:rPr>
          <w:rFonts w:hint="eastAsia"/>
          <w:b/>
          <w:bCs/>
          <w:i/>
          <w:iCs/>
        </w:rPr>
      </w:pPr>
    </w:p>
    <w:p w14:paraId="14F1B062">
      <w:pPr>
        <w:jc w:val="both"/>
        <w:rPr>
          <w:b/>
          <w:bCs/>
          <w:i/>
          <w:iCs/>
        </w:rPr>
      </w:pPr>
      <w:r>
        <w:rPr>
          <w:rFonts w:hint="eastAsia"/>
          <w:b/>
          <w:bCs/>
          <w:i/>
          <w:iCs/>
        </w:rPr>
        <w:t>"A global society involves the interdependence of individuals and groups across boundaries, often leading to the formation of new governance structures." — David Held, Globalization and Political Theory.</w:t>
      </w:r>
    </w:p>
    <w:p w14:paraId="19E44CFF">
      <w:pPr>
        <w:jc w:val="both"/>
      </w:pPr>
    </w:p>
    <w:p w14:paraId="3E990CD5">
      <w:pPr>
        <w:jc w:val="both"/>
        <w:rPr>
          <w:b/>
          <w:bCs/>
        </w:rPr>
      </w:pPr>
      <w:r>
        <w:rPr>
          <w:b/>
          <w:bCs/>
        </w:rPr>
        <w:t>12. Theoretical Foundation and Intellectual Framework of Syno Aurelius</w:t>
      </w:r>
    </w:p>
    <w:p w14:paraId="46AC40C6">
      <w:pPr>
        <w:jc w:val="both"/>
      </w:pPr>
      <w:r>
        <w:t>The foundation of Syno Aurelius draws upon theories of Modern Monetary Theory (MMT), Digital Sovereignty, and Global Governance, all of which propose that traditional notions of statehood and sovereignty can evolve within the context of digital transformation:</w:t>
      </w:r>
    </w:p>
    <w:p w14:paraId="764869B2">
      <w:pPr>
        <w:jc w:val="both"/>
        <w:rPr>
          <w:rFonts w:hint="eastAsia"/>
          <w:b/>
          <w:bCs/>
          <w:i/>
          <w:iCs/>
        </w:rPr>
      </w:pPr>
    </w:p>
    <w:p w14:paraId="4B6F1452">
      <w:pPr>
        <w:jc w:val="both"/>
        <w:rPr>
          <w:b/>
          <w:bCs/>
          <w:i/>
          <w:iCs/>
        </w:rPr>
      </w:pPr>
      <w:r>
        <w:rPr>
          <w:rFonts w:hint="eastAsia"/>
          <w:b/>
          <w:bCs/>
          <w:i/>
          <w:iCs/>
        </w:rPr>
        <w:t>"Sovereignty in the digital age must be understood not only in territorial terms but in terms of digital rights, governance, and the capacity to exercise autonomy over digital resources." — Carnegie Endowment for International Peace, 2024.</w:t>
      </w:r>
    </w:p>
    <w:p w14:paraId="008D6DC9">
      <w:pPr>
        <w:jc w:val="both"/>
      </w:pPr>
    </w:p>
    <w:p w14:paraId="7D96CE83">
      <w:pPr>
        <w:jc w:val="both"/>
        <w:rPr>
          <w:b/>
          <w:bCs/>
        </w:rPr>
      </w:pPr>
      <w:r>
        <w:rPr>
          <w:b/>
          <w:bCs/>
        </w:rPr>
        <w:t>13. Digital Sovereignty and the Future of Syno Aurelius: The Digital Transformation Framework</w:t>
      </w:r>
    </w:p>
    <w:p w14:paraId="3523D450">
      <w:pPr>
        <w:jc w:val="both"/>
      </w:pPr>
      <w:r>
        <w:t>The future of Syno Aurelius lies in embracing Digital Sovereignty, ensuring that the virtual nation not only retains control over its digital assets but also contributes to the global conversation about technology governance, digital rights, and the future of the internet:</w:t>
      </w:r>
    </w:p>
    <w:p w14:paraId="532B37A9">
      <w:pPr>
        <w:jc w:val="both"/>
        <w:rPr>
          <w:rFonts w:hint="eastAsia"/>
        </w:rPr>
      </w:pPr>
    </w:p>
    <w:p w14:paraId="4B43DF48">
      <w:pPr>
        <w:jc w:val="both"/>
        <w:rPr>
          <w:rFonts w:hint="eastAsia"/>
          <w:b/>
          <w:bCs/>
          <w:i/>
          <w:iCs/>
        </w:rPr>
      </w:pPr>
      <w:r>
        <w:rPr>
          <w:rFonts w:hint="eastAsia"/>
          <w:b/>
          <w:bCs/>
          <w:i/>
          <w:iCs/>
        </w:rPr>
        <w:t>"Digital sovereignty is a foundational pillar of the future of nations in the 21st century." — Global Digital Sovereignty Initiative, 2024.</w:t>
      </w:r>
    </w:p>
    <w:p w14:paraId="6B108002">
      <w:pPr>
        <w:jc w:val="both"/>
        <w:rPr>
          <w:rFonts w:hint="eastAsia"/>
          <w:b/>
          <w:bCs/>
          <w:i/>
          <w:iCs/>
        </w:rPr>
      </w:pPr>
    </w:p>
    <w:p w14:paraId="4C7C3E68">
      <w:pPr>
        <w:jc w:val="both"/>
        <w:rPr>
          <w:rFonts w:hint="eastAsia"/>
          <w:b/>
          <w:bCs/>
          <w:i/>
          <w:iCs/>
        </w:rPr>
      </w:pPr>
    </w:p>
    <w:p w14:paraId="32254BE8">
      <w:pPr>
        <w:jc w:val="both"/>
        <w:rPr>
          <w:rFonts w:hint="eastAsia"/>
          <w:b/>
          <w:bCs/>
          <w:i/>
          <w:iCs/>
        </w:rPr>
      </w:pPr>
    </w:p>
    <w:p w14:paraId="0B2B2A16">
      <w:pPr>
        <w:jc w:val="both"/>
        <w:rPr>
          <w:rFonts w:hint="eastAsia"/>
          <w:b/>
          <w:bCs/>
          <w:i/>
          <w:iCs/>
        </w:rPr>
      </w:pPr>
    </w:p>
    <w:p w14:paraId="772DF92E">
      <w:pPr>
        <w:jc w:val="both"/>
        <w:rPr>
          <w:rFonts w:hint="eastAsia"/>
          <w:b/>
          <w:bCs/>
          <w:i/>
          <w:iCs/>
        </w:rPr>
      </w:pPr>
    </w:p>
    <w:p w14:paraId="2A5E4CC5">
      <w:pPr>
        <w:jc w:val="both"/>
        <w:rPr>
          <w:rFonts w:hint="eastAsia"/>
          <w:b/>
          <w:bCs/>
          <w:i/>
          <w:iCs/>
        </w:rPr>
      </w:pPr>
    </w:p>
    <w:p w14:paraId="302903A3">
      <w:pPr>
        <w:jc w:val="both"/>
        <w:rPr>
          <w:rFonts w:hint="eastAsia"/>
          <w:b/>
          <w:bCs/>
          <w:i/>
          <w:iCs/>
        </w:rPr>
      </w:pPr>
    </w:p>
    <w:p w14:paraId="737E09BF">
      <w:pPr>
        <w:jc w:val="both"/>
        <w:rPr>
          <w:rFonts w:hint="eastAsia"/>
          <w:b/>
          <w:bCs/>
          <w:i/>
          <w:iCs/>
        </w:rPr>
      </w:pPr>
    </w:p>
    <w:p w14:paraId="46C283AC">
      <w:pPr>
        <w:jc w:val="both"/>
        <w:rPr>
          <w:rFonts w:hint="eastAsia"/>
          <w:b/>
          <w:bCs/>
          <w:i/>
          <w:iCs/>
        </w:rPr>
      </w:pPr>
    </w:p>
    <w:p w14:paraId="37D8EF4C">
      <w:pPr>
        <w:jc w:val="both"/>
        <w:rPr>
          <w:rFonts w:hint="eastAsia"/>
          <w:b/>
          <w:bCs/>
          <w:i/>
          <w:iCs/>
        </w:rPr>
      </w:pPr>
    </w:p>
    <w:p w14:paraId="2911E77B">
      <w:pPr>
        <w:jc w:val="both"/>
        <w:rPr>
          <w:rFonts w:hint="eastAsia"/>
          <w:b w:val="0"/>
          <w:bCs w:val="0"/>
          <w:i w:val="0"/>
          <w:iCs w:val="0"/>
        </w:rPr>
      </w:pPr>
      <w:r>
        <w:rPr>
          <w:rFonts w:hint="eastAsia"/>
          <w:b w:val="0"/>
          <w:bCs w:val="0"/>
          <w:i w:val="0"/>
          <w:iCs w:val="0"/>
        </w:rPr>
        <w:t>To support the legal recognition or inclusion of Syno Aurelius within the framework of international law, particularly through the lens of jus cogens and related principles, several scholarly sources and doctrines can be referenced. Below is a compilation of pertinent references, quotations, and extracts:</w:t>
      </w:r>
    </w:p>
    <w:p w14:paraId="0FC19182">
      <w:pPr>
        <w:jc w:val="both"/>
        <w:rPr>
          <w:rFonts w:hint="eastAsia"/>
          <w:b w:val="0"/>
          <w:bCs w:val="0"/>
          <w:i w:val="0"/>
          <w:iCs w:val="0"/>
        </w:rPr>
      </w:pPr>
    </w:p>
    <w:p w14:paraId="64350734">
      <w:pPr>
        <w:jc w:val="both"/>
        <w:rPr>
          <w:rFonts w:hint="eastAsia"/>
          <w:b/>
          <w:bCs/>
          <w:i w:val="0"/>
          <w:iCs w:val="0"/>
        </w:rPr>
      </w:pPr>
      <w:r>
        <w:rPr>
          <w:rFonts w:hint="eastAsia"/>
          <w:b/>
          <w:bCs/>
          <w:i w:val="0"/>
          <w:iCs w:val="0"/>
        </w:rPr>
        <w:t>1. Jus Cogens and Its Role in International Law</w:t>
      </w:r>
    </w:p>
    <w:p w14:paraId="09903139">
      <w:pPr>
        <w:jc w:val="both"/>
        <w:rPr>
          <w:rFonts w:hint="eastAsia"/>
          <w:b w:val="0"/>
          <w:bCs w:val="0"/>
          <w:i w:val="0"/>
          <w:iCs w:val="0"/>
        </w:rPr>
      </w:pPr>
      <w:r>
        <w:rPr>
          <w:rFonts w:hint="eastAsia"/>
          <w:b w:val="0"/>
          <w:bCs w:val="0"/>
          <w:i w:val="0"/>
          <w:iCs w:val="0"/>
        </w:rPr>
        <w:t>Jus cogens norms are peremptory principles of international law from which no derogation is permitted. They are recognized as fundamental to the international legal order.​</w:t>
      </w:r>
    </w:p>
    <w:p w14:paraId="28C65396">
      <w:pPr>
        <w:jc w:val="both"/>
        <w:rPr>
          <w:rFonts w:hint="eastAsia"/>
          <w:b w:val="0"/>
          <w:bCs w:val="0"/>
          <w:i w:val="0"/>
          <w:iCs w:val="0"/>
        </w:rPr>
      </w:pPr>
    </w:p>
    <w:p w14:paraId="3D26FF65">
      <w:pPr>
        <w:jc w:val="both"/>
        <w:rPr>
          <w:rFonts w:hint="eastAsia"/>
          <w:b/>
          <w:bCs/>
          <w:i/>
          <w:iCs/>
        </w:rPr>
      </w:pPr>
      <w:r>
        <w:rPr>
          <w:rFonts w:hint="eastAsia"/>
          <w:b/>
          <w:bCs/>
          <w:i/>
          <w:iCs/>
        </w:rPr>
        <w:t>"Jus cogens norms are norms of customary international law which are so important, it cannot be changed through treaties." ​</w:t>
      </w:r>
      <w:r>
        <w:rPr>
          <w:rFonts w:hint="eastAsia"/>
          <w:b/>
          <w:bCs/>
          <w:i/>
          <w:iCs/>
        </w:rPr>
        <w:fldChar w:fldCharType="begin"/>
      </w:r>
      <w:r>
        <w:rPr>
          <w:rFonts w:hint="eastAsia"/>
          <w:b/>
          <w:bCs/>
          <w:i/>
          <w:iCs/>
        </w:rPr>
        <w:instrText xml:space="preserve"> HYPERLINK "https://ecsdev.org/ojs/index.php/ejsd/article/view/358?utm_source=chatgpt.com" \t "_blank" </w:instrText>
      </w:r>
      <w:r>
        <w:rPr>
          <w:rFonts w:hint="eastAsia"/>
          <w:b/>
          <w:bCs/>
          <w:i/>
          <w:iCs/>
        </w:rPr>
        <w:fldChar w:fldCharType="separate"/>
      </w:r>
      <w:r>
        <w:rPr>
          <w:rFonts w:hint="eastAsia"/>
          <w:b/>
          <w:bCs/>
          <w:i/>
          <w:iCs/>
        </w:rPr>
        <w:t>Ecsdev</w:t>
      </w:r>
      <w:r>
        <w:rPr>
          <w:rFonts w:hint="eastAsia"/>
          <w:b/>
          <w:bCs/>
          <w:i/>
          <w:iCs/>
        </w:rPr>
        <w:fldChar w:fldCharType="end"/>
      </w:r>
    </w:p>
    <w:p w14:paraId="12694C21">
      <w:pPr>
        <w:jc w:val="both"/>
        <w:rPr>
          <w:rFonts w:hint="eastAsia"/>
          <w:b/>
          <w:bCs/>
          <w:i/>
          <w:iCs/>
        </w:rPr>
      </w:pPr>
    </w:p>
    <w:p w14:paraId="150B0AF7">
      <w:pPr>
        <w:jc w:val="both"/>
        <w:rPr>
          <w:rFonts w:hint="eastAsia"/>
          <w:b w:val="0"/>
          <w:bCs w:val="0"/>
          <w:i w:val="0"/>
          <w:iCs w:val="0"/>
        </w:rPr>
      </w:pPr>
      <w:r>
        <w:rPr>
          <w:rFonts w:hint="eastAsia"/>
          <w:b w:val="0"/>
          <w:bCs w:val="0"/>
          <w:i w:val="0"/>
          <w:iCs w:val="0"/>
        </w:rPr>
        <w:t>The Vienna Convention on the Law of Treaties (1969) underscores the inviolability of jus cogens norms:​</w:t>
      </w:r>
    </w:p>
    <w:p w14:paraId="5113861D">
      <w:pPr>
        <w:jc w:val="both"/>
        <w:rPr>
          <w:rFonts w:hint="eastAsia"/>
          <w:b/>
          <w:bCs/>
          <w:i/>
          <w:iCs/>
        </w:rPr>
      </w:pPr>
      <w:r>
        <w:rPr>
          <w:rFonts w:hint="eastAsia"/>
          <w:b/>
          <w:bCs/>
          <w:i/>
          <w:iCs/>
        </w:rPr>
        <w:t>"A treaty is considered invalid if it is in conflict with existing norms of jus cogens." ​</w:t>
      </w:r>
    </w:p>
    <w:p w14:paraId="4A62E6C9">
      <w:pPr>
        <w:jc w:val="both"/>
        <w:rPr>
          <w:rFonts w:hint="eastAsia"/>
          <w:b/>
          <w:bCs/>
          <w:i/>
          <w:iCs/>
        </w:rPr>
      </w:pPr>
    </w:p>
    <w:p w14:paraId="2B27FF65">
      <w:pPr>
        <w:jc w:val="both"/>
        <w:rPr>
          <w:rFonts w:hint="eastAsia"/>
          <w:b w:val="0"/>
          <w:bCs w:val="0"/>
          <w:i w:val="0"/>
          <w:iCs w:val="0"/>
        </w:rPr>
      </w:pPr>
      <w:r>
        <w:rPr>
          <w:rFonts w:hint="eastAsia"/>
          <w:b w:val="0"/>
          <w:bCs w:val="0"/>
          <w:i w:val="0"/>
          <w:iCs w:val="0"/>
        </w:rPr>
        <w:t>This principle emphasizes that any international agreement or recognition must align with these fundamental norms, reinforcing the legitimacy of entities upholding them.</w:t>
      </w:r>
    </w:p>
    <w:p w14:paraId="7998AC38">
      <w:pPr>
        <w:jc w:val="both"/>
        <w:rPr>
          <w:rFonts w:hint="eastAsia"/>
          <w:b w:val="0"/>
          <w:bCs w:val="0"/>
          <w:i w:val="0"/>
          <w:iCs w:val="0"/>
        </w:rPr>
      </w:pPr>
    </w:p>
    <w:p w14:paraId="6ED265CA">
      <w:pPr>
        <w:jc w:val="both"/>
        <w:rPr>
          <w:rFonts w:hint="eastAsia"/>
          <w:b/>
          <w:bCs/>
          <w:i w:val="0"/>
          <w:iCs w:val="0"/>
        </w:rPr>
      </w:pPr>
      <w:r>
        <w:rPr>
          <w:rFonts w:hint="eastAsia"/>
          <w:b/>
          <w:bCs/>
          <w:i w:val="0"/>
          <w:iCs w:val="0"/>
        </w:rPr>
        <w:t>2. Recognition of States: Legal and Political Considerations</w:t>
      </w:r>
    </w:p>
    <w:p w14:paraId="7968E70F">
      <w:pPr>
        <w:jc w:val="both"/>
        <w:rPr>
          <w:rFonts w:hint="eastAsia"/>
          <w:b w:val="0"/>
          <w:bCs w:val="0"/>
          <w:i w:val="0"/>
          <w:iCs w:val="0"/>
        </w:rPr>
      </w:pPr>
      <w:r>
        <w:rPr>
          <w:rFonts w:hint="eastAsia"/>
          <w:b w:val="0"/>
          <w:bCs w:val="0"/>
          <w:i w:val="0"/>
          <w:iCs w:val="0"/>
        </w:rPr>
        <w:t>The act of recognizing a state in international law is both a legal and political process. While political interests often influence recognition, legal criteria provide a framework to assess the legitimacy of statehood.​</w:t>
      </w:r>
    </w:p>
    <w:p w14:paraId="16BFC071">
      <w:pPr>
        <w:jc w:val="both"/>
        <w:rPr>
          <w:rFonts w:hint="eastAsia"/>
          <w:b w:val="0"/>
          <w:bCs w:val="0"/>
          <w:i w:val="0"/>
          <w:iCs w:val="0"/>
        </w:rPr>
      </w:pPr>
    </w:p>
    <w:p w14:paraId="4FAC7416">
      <w:pPr>
        <w:jc w:val="both"/>
        <w:rPr>
          <w:rFonts w:hint="eastAsia"/>
          <w:b w:val="0"/>
          <w:bCs w:val="0"/>
          <w:i w:val="0"/>
          <w:iCs w:val="0"/>
        </w:rPr>
      </w:pPr>
      <w:r>
        <w:rPr>
          <w:rFonts w:hint="eastAsia"/>
          <w:b/>
          <w:bCs/>
          <w:i/>
          <w:iCs/>
        </w:rPr>
        <w:t xml:space="preserve">"Recognition of States in international law is a political act based on interests and assessments made by states individually. However, in granting recognition, it is the legal arguments that must prevail." </w:t>
      </w:r>
      <w:r>
        <w:rPr>
          <w:rFonts w:hint="eastAsia"/>
          <w:b w:val="0"/>
          <w:bCs w:val="0"/>
          <w:i w:val="0"/>
          <w:iCs w:val="0"/>
        </w:rPr>
        <w:t>​</w:t>
      </w:r>
      <w:r>
        <w:rPr>
          <w:rFonts w:hint="eastAsia"/>
          <w:b w:val="0"/>
          <w:bCs w:val="0"/>
          <w:i w:val="0"/>
          <w:iCs w:val="0"/>
        </w:rPr>
        <w:fldChar w:fldCharType="begin"/>
      </w:r>
      <w:r>
        <w:rPr>
          <w:rFonts w:hint="eastAsia"/>
          <w:b w:val="0"/>
          <w:bCs w:val="0"/>
          <w:i w:val="0"/>
          <w:iCs w:val="0"/>
        </w:rPr>
        <w:instrText xml:space="preserve"> HYPERLINK "https://revistia.org/index.php/ejis/article/view/5500?utm_source=chatgpt.com" \t "_blank" </w:instrText>
      </w:r>
      <w:r>
        <w:rPr>
          <w:rFonts w:hint="eastAsia"/>
          <w:b w:val="0"/>
          <w:bCs w:val="0"/>
          <w:i w:val="0"/>
          <w:iCs w:val="0"/>
        </w:rPr>
        <w:fldChar w:fldCharType="separate"/>
      </w:r>
      <w:r>
        <w:rPr>
          <w:rFonts w:hint="eastAsia"/>
          <w:b w:val="0"/>
          <w:bCs w:val="0"/>
          <w:i/>
          <w:iCs/>
        </w:rPr>
        <w:t>Cambridge University Press &amp; Assessmen</w:t>
      </w:r>
      <w:r>
        <w:rPr>
          <w:rFonts w:hint="eastAsia"/>
          <w:b w:val="0"/>
          <w:bCs w:val="0"/>
          <w:i w:val="0"/>
          <w:iCs w:val="0"/>
        </w:rPr>
        <w:t>t</w:t>
      </w:r>
      <w:r>
        <w:rPr>
          <w:rFonts w:hint="eastAsia"/>
          <w:b w:val="0"/>
          <w:bCs w:val="0"/>
          <w:i w:val="0"/>
          <w:iCs w:val="0"/>
        </w:rPr>
        <w:fldChar w:fldCharType="end"/>
      </w:r>
    </w:p>
    <w:p w14:paraId="47CA08C7">
      <w:pPr>
        <w:jc w:val="both"/>
        <w:rPr>
          <w:rFonts w:hint="eastAsia"/>
          <w:b w:val="0"/>
          <w:bCs w:val="0"/>
          <w:i w:val="0"/>
          <w:iCs w:val="0"/>
        </w:rPr>
      </w:pPr>
    </w:p>
    <w:p w14:paraId="505A356E">
      <w:pPr>
        <w:jc w:val="both"/>
        <w:rPr>
          <w:rFonts w:hint="eastAsia"/>
          <w:b w:val="0"/>
          <w:bCs w:val="0"/>
          <w:i w:val="0"/>
          <w:iCs w:val="0"/>
        </w:rPr>
      </w:pPr>
      <w:r>
        <w:rPr>
          <w:rFonts w:hint="eastAsia"/>
          <w:b w:val="0"/>
          <w:bCs w:val="0"/>
          <w:i w:val="0"/>
          <w:iCs w:val="0"/>
        </w:rPr>
        <w:t>This perspective suggests that entities like Syno Aurelius, which adhere to international legal norms and contribute to global peace and stability, have a basis for seeking recognition grounded in law rather than solely political considerations.​</w:t>
      </w:r>
    </w:p>
    <w:p w14:paraId="44549FA7">
      <w:pPr>
        <w:jc w:val="both"/>
        <w:rPr>
          <w:rFonts w:hint="eastAsia"/>
          <w:b w:val="0"/>
          <w:bCs w:val="0"/>
          <w:i w:val="0"/>
          <w:iCs w:val="0"/>
        </w:rPr>
      </w:pPr>
    </w:p>
    <w:p w14:paraId="1FE82D73">
      <w:pPr>
        <w:jc w:val="both"/>
        <w:rPr>
          <w:rFonts w:hint="eastAsia"/>
          <w:b/>
          <w:bCs/>
          <w:i w:val="0"/>
          <w:iCs w:val="0"/>
        </w:rPr>
      </w:pPr>
      <w:r>
        <w:rPr>
          <w:rFonts w:hint="eastAsia"/>
          <w:b/>
          <w:bCs/>
          <w:i w:val="0"/>
          <w:iCs w:val="0"/>
        </w:rPr>
        <w:t>3. The Right to Self-Determination</w:t>
      </w:r>
    </w:p>
    <w:p w14:paraId="4E499DCC">
      <w:pPr>
        <w:jc w:val="both"/>
        <w:rPr>
          <w:rFonts w:hint="eastAsia"/>
          <w:b w:val="0"/>
          <w:bCs w:val="0"/>
          <w:i w:val="0"/>
          <w:iCs w:val="0"/>
        </w:rPr>
      </w:pPr>
      <w:r>
        <w:rPr>
          <w:rFonts w:hint="eastAsia"/>
          <w:b w:val="0"/>
          <w:bCs w:val="0"/>
          <w:i w:val="0"/>
          <w:iCs w:val="0"/>
        </w:rPr>
        <w:t>The right to self-determination is a cornerstone of international law, allowing peoples to determine their political status and pursue their economic, social, and cultural development.​</w:t>
      </w:r>
    </w:p>
    <w:p w14:paraId="7350EEA5">
      <w:pPr>
        <w:jc w:val="both"/>
        <w:rPr>
          <w:rFonts w:hint="eastAsia"/>
          <w:b/>
          <w:bCs/>
          <w:i/>
          <w:iCs/>
        </w:rPr>
      </w:pPr>
      <w:r>
        <w:rPr>
          <w:rFonts w:hint="eastAsia"/>
          <w:b/>
          <w:bCs/>
          <w:i/>
          <w:iCs/>
        </w:rPr>
        <w:t>"The right to self-determination and peremptory norms." ​</w:t>
      </w:r>
      <w:r>
        <w:rPr>
          <w:rFonts w:hint="eastAsia"/>
          <w:b/>
          <w:bCs/>
          <w:i/>
          <w:iCs/>
        </w:rPr>
        <w:fldChar w:fldCharType="begin"/>
      </w:r>
      <w:r>
        <w:rPr>
          <w:rFonts w:hint="eastAsia"/>
          <w:b/>
          <w:bCs/>
          <w:i/>
          <w:iCs/>
        </w:rPr>
        <w:instrText xml:space="preserve"> HYPERLINK "https://brill.com/display/book/edcoll/9789004464124/front-4.xml?utm_source=chatgpt.com" \t "_blank" </w:instrText>
      </w:r>
      <w:r>
        <w:rPr>
          <w:rFonts w:hint="eastAsia"/>
          <w:b/>
          <w:bCs/>
          <w:i/>
          <w:iCs/>
        </w:rPr>
        <w:fldChar w:fldCharType="separate"/>
      </w:r>
      <w:r>
        <w:rPr>
          <w:rFonts w:hint="eastAsia"/>
          <w:b/>
          <w:bCs/>
          <w:i/>
          <w:iCs/>
        </w:rPr>
        <w:t>European Society of International Law</w:t>
      </w:r>
      <w:r>
        <w:rPr>
          <w:rFonts w:hint="eastAsia"/>
          <w:b/>
          <w:bCs/>
          <w:i/>
          <w:iCs/>
        </w:rPr>
        <w:fldChar w:fldCharType="end"/>
      </w:r>
    </w:p>
    <w:p w14:paraId="28A57941">
      <w:pPr>
        <w:jc w:val="both"/>
        <w:rPr>
          <w:rFonts w:hint="eastAsia"/>
          <w:b/>
          <w:bCs/>
          <w:i/>
          <w:iCs/>
        </w:rPr>
      </w:pPr>
    </w:p>
    <w:p w14:paraId="4067177C">
      <w:pPr>
        <w:jc w:val="both"/>
        <w:rPr>
          <w:rFonts w:hint="eastAsia"/>
          <w:b w:val="0"/>
          <w:bCs w:val="0"/>
          <w:i w:val="0"/>
          <w:iCs w:val="0"/>
        </w:rPr>
      </w:pPr>
      <w:r>
        <w:rPr>
          <w:rFonts w:hint="eastAsia"/>
          <w:b w:val="0"/>
          <w:bCs w:val="0"/>
          <w:i w:val="0"/>
          <w:iCs w:val="0"/>
        </w:rPr>
        <w:t>This principle supports the legitimacy of entities that emerge from the collective will of a people or community, as long as they operate within the bounds of international law.​</w:t>
      </w:r>
    </w:p>
    <w:p w14:paraId="74FD81F7">
      <w:pPr>
        <w:jc w:val="both"/>
        <w:rPr>
          <w:rFonts w:hint="eastAsia"/>
          <w:b w:val="0"/>
          <w:bCs w:val="0"/>
          <w:i w:val="0"/>
          <w:iCs w:val="0"/>
        </w:rPr>
      </w:pPr>
    </w:p>
    <w:p w14:paraId="0FA5FE1A">
      <w:pPr>
        <w:jc w:val="both"/>
        <w:rPr>
          <w:rFonts w:hint="eastAsia"/>
          <w:b/>
          <w:bCs/>
          <w:i w:val="0"/>
          <w:iCs w:val="0"/>
        </w:rPr>
      </w:pPr>
      <w:r>
        <w:rPr>
          <w:rFonts w:hint="eastAsia"/>
          <w:b/>
          <w:bCs/>
          <w:i w:val="0"/>
          <w:iCs w:val="0"/>
        </w:rPr>
        <w:t>4. Sovereign Equality and the Westphalian System</w:t>
      </w:r>
    </w:p>
    <w:p w14:paraId="1C297BBF">
      <w:pPr>
        <w:jc w:val="both"/>
        <w:rPr>
          <w:rFonts w:hint="eastAsia"/>
          <w:b w:val="0"/>
          <w:bCs w:val="0"/>
          <w:i w:val="0"/>
          <w:iCs w:val="0"/>
        </w:rPr>
      </w:pPr>
      <w:r>
        <w:rPr>
          <w:rFonts w:hint="eastAsia"/>
          <w:b w:val="0"/>
          <w:bCs w:val="0"/>
          <w:i w:val="0"/>
          <w:iCs w:val="0"/>
        </w:rPr>
        <w:t>The Westphalian system established the concept of sovereign equality among states, asserting that each state has exclusive sovereignty over its territory.​</w:t>
      </w:r>
    </w:p>
    <w:p w14:paraId="467384BA">
      <w:pPr>
        <w:jc w:val="both"/>
        <w:rPr>
          <w:rFonts w:hint="eastAsia"/>
          <w:b w:val="0"/>
          <w:bCs w:val="0"/>
          <w:i w:val="0"/>
          <w:iCs w:val="0"/>
        </w:rPr>
      </w:pPr>
    </w:p>
    <w:p w14:paraId="79AAA621">
      <w:pPr>
        <w:jc w:val="both"/>
        <w:rPr>
          <w:rFonts w:hint="eastAsia"/>
          <w:b/>
          <w:bCs/>
          <w:i/>
          <w:iCs/>
        </w:rPr>
      </w:pPr>
      <w:r>
        <w:rPr>
          <w:rFonts w:hint="eastAsia"/>
          <w:b/>
          <w:bCs/>
          <w:i/>
          <w:iCs/>
        </w:rPr>
        <w:t>"According to the principle, every state, no matter how large or small, has an equal right to sovereignty." ​</w:t>
      </w:r>
      <w:r>
        <w:rPr>
          <w:rFonts w:hint="eastAsia"/>
          <w:b/>
          <w:bCs/>
          <w:i/>
          <w:iCs/>
        </w:rPr>
        <w:fldChar w:fldCharType="begin"/>
      </w:r>
      <w:r>
        <w:rPr>
          <w:rFonts w:hint="eastAsia"/>
          <w:b/>
          <w:bCs/>
          <w:i/>
          <w:iCs/>
        </w:rPr>
        <w:instrText xml:space="preserve"> HYPERLINK "https://en.wikipedia.org/wiki/Westphalian_system?utm_source=chatgpt.com" \t "_blank" </w:instrText>
      </w:r>
      <w:r>
        <w:rPr>
          <w:rFonts w:hint="eastAsia"/>
          <w:b/>
          <w:bCs/>
          <w:i/>
          <w:iCs/>
        </w:rPr>
        <w:fldChar w:fldCharType="separate"/>
      </w:r>
      <w:r>
        <w:rPr>
          <w:rFonts w:hint="eastAsia"/>
          <w:b/>
          <w:bCs/>
          <w:i/>
          <w:iCs/>
        </w:rPr>
        <w:t>Wikipedia</w:t>
      </w:r>
      <w:r>
        <w:rPr>
          <w:rFonts w:hint="eastAsia"/>
          <w:b/>
          <w:bCs/>
          <w:i/>
          <w:iCs/>
        </w:rPr>
        <w:fldChar w:fldCharType="end"/>
      </w:r>
    </w:p>
    <w:p w14:paraId="36B1E07A">
      <w:pPr>
        <w:jc w:val="both"/>
        <w:rPr>
          <w:rFonts w:hint="eastAsia"/>
          <w:b/>
          <w:bCs/>
          <w:i/>
          <w:iCs/>
        </w:rPr>
      </w:pPr>
    </w:p>
    <w:p w14:paraId="50E570CA">
      <w:pPr>
        <w:jc w:val="both"/>
        <w:rPr>
          <w:rFonts w:hint="eastAsia"/>
          <w:b w:val="0"/>
          <w:bCs w:val="0"/>
          <w:i w:val="0"/>
          <w:iCs w:val="0"/>
        </w:rPr>
      </w:pPr>
      <w:r>
        <w:rPr>
          <w:rFonts w:hint="eastAsia"/>
          <w:b w:val="0"/>
          <w:bCs w:val="0"/>
          <w:i w:val="0"/>
          <w:iCs w:val="0"/>
        </w:rPr>
        <w:t>This principle underlines that all states, regardless of their size or power, possess equal rights and duties under international law, reinforcing the notion that new entities can claim sovereignty on an equal footing.​</w:t>
      </w:r>
    </w:p>
    <w:p w14:paraId="2EB33CA5">
      <w:pPr>
        <w:jc w:val="both"/>
        <w:rPr>
          <w:rFonts w:hint="eastAsia"/>
          <w:b w:val="0"/>
          <w:bCs w:val="0"/>
          <w:i w:val="0"/>
          <w:iCs w:val="0"/>
        </w:rPr>
      </w:pPr>
    </w:p>
    <w:p w14:paraId="3BF83E1E">
      <w:pPr>
        <w:jc w:val="both"/>
        <w:rPr>
          <w:rFonts w:hint="eastAsia"/>
          <w:b w:val="0"/>
          <w:bCs w:val="0"/>
          <w:i w:val="0"/>
          <w:iCs w:val="0"/>
        </w:rPr>
      </w:pPr>
    </w:p>
    <w:p w14:paraId="407F061D">
      <w:pPr>
        <w:jc w:val="both"/>
        <w:rPr>
          <w:rFonts w:hint="eastAsia"/>
          <w:b w:val="0"/>
          <w:bCs w:val="0"/>
          <w:i w:val="0"/>
          <w:iCs w:val="0"/>
        </w:rPr>
      </w:pPr>
    </w:p>
    <w:p w14:paraId="5D066AAE">
      <w:pPr>
        <w:jc w:val="both"/>
        <w:rPr>
          <w:rFonts w:hint="eastAsia"/>
          <w:b w:val="0"/>
          <w:bCs w:val="0"/>
          <w:i w:val="0"/>
          <w:iCs w:val="0"/>
        </w:rPr>
      </w:pPr>
    </w:p>
    <w:p w14:paraId="21C97C02">
      <w:pPr>
        <w:jc w:val="both"/>
        <w:rPr>
          <w:rFonts w:hint="eastAsia"/>
          <w:b w:val="0"/>
          <w:bCs w:val="0"/>
          <w:i w:val="0"/>
          <w:iCs w:val="0"/>
        </w:rPr>
      </w:pPr>
    </w:p>
    <w:p w14:paraId="4909463D">
      <w:pPr>
        <w:jc w:val="both"/>
        <w:rPr>
          <w:rFonts w:hint="eastAsia"/>
          <w:b w:val="0"/>
          <w:bCs w:val="0"/>
          <w:i w:val="0"/>
          <w:iCs w:val="0"/>
        </w:rPr>
      </w:pPr>
    </w:p>
    <w:p w14:paraId="70265EB9">
      <w:pPr>
        <w:jc w:val="both"/>
        <w:rPr>
          <w:rFonts w:hint="eastAsia"/>
          <w:b/>
          <w:bCs/>
          <w:i w:val="0"/>
          <w:iCs w:val="0"/>
        </w:rPr>
      </w:pPr>
      <w:r>
        <w:rPr>
          <w:rFonts w:hint="eastAsia"/>
          <w:b/>
          <w:bCs/>
          <w:i w:val="0"/>
          <w:iCs w:val="0"/>
        </w:rPr>
        <w:t>5. Evolving Criteria for State Recognition</w:t>
      </w:r>
    </w:p>
    <w:p w14:paraId="17775DF9">
      <w:pPr>
        <w:jc w:val="both"/>
        <w:rPr>
          <w:rFonts w:hint="eastAsia"/>
          <w:b w:val="0"/>
          <w:bCs w:val="0"/>
          <w:i w:val="0"/>
          <w:iCs w:val="0"/>
        </w:rPr>
      </w:pPr>
      <w:r>
        <w:rPr>
          <w:rFonts w:hint="eastAsia"/>
          <w:b w:val="0"/>
          <w:bCs w:val="0"/>
          <w:i w:val="0"/>
          <w:iCs w:val="0"/>
        </w:rPr>
        <w:t>In recent times, the criteria for recognizing states have evolved to include considerations beyond traditional qualifications, such as adherence to human rights and democratic principles.​</w:t>
      </w:r>
    </w:p>
    <w:p w14:paraId="1BB79C5F">
      <w:pPr>
        <w:jc w:val="both"/>
        <w:rPr>
          <w:rFonts w:hint="eastAsia"/>
          <w:b w:val="0"/>
          <w:bCs w:val="0"/>
          <w:i w:val="0"/>
          <w:iCs w:val="0"/>
        </w:rPr>
      </w:pPr>
    </w:p>
    <w:p w14:paraId="58257A19">
      <w:pPr>
        <w:jc w:val="both"/>
        <w:rPr>
          <w:rFonts w:hint="eastAsia"/>
          <w:b w:val="0"/>
          <w:bCs w:val="0"/>
          <w:i w:val="0"/>
          <w:iCs w:val="0"/>
        </w:rPr>
      </w:pPr>
      <w:r>
        <w:rPr>
          <w:rFonts w:hint="eastAsia"/>
          <w:b/>
          <w:bCs/>
          <w:i/>
          <w:iCs/>
        </w:rPr>
        <w:t>"The standards devised by the EC, especially those pertaining to democracy, human rights, and treatment of minorities, have been rapidly evolving into legal criteria acquiring the nature of general standards of international law used in the recognition of states and governments." ​</w:t>
      </w:r>
      <w:r>
        <w:rPr>
          <w:rFonts w:hint="eastAsia"/>
          <w:b/>
          <w:bCs/>
          <w:i/>
          <w:iCs/>
        </w:rPr>
        <w:fldChar w:fldCharType="begin"/>
      </w:r>
      <w:r>
        <w:rPr>
          <w:rFonts w:hint="eastAsia"/>
          <w:b/>
          <w:bCs/>
          <w:i/>
          <w:iCs/>
        </w:rPr>
        <w:instrText xml:space="preserve"> HYPERLINK "https://www.cambridge.org/core/journals/leiden-journal-of-international-law/article/abs/recognition-of-states-international-law-or-realpolitik-the-practice-of-recognition-in-the-wake-of-kosovo-south-ossetia-and-abkhazia/C4AA98B250F3F6602BEC3B9FC35AF34A?utm_source=chatgpt.com" \t "_blank" </w:instrText>
      </w:r>
      <w:r>
        <w:rPr>
          <w:rFonts w:hint="eastAsia"/>
          <w:b/>
          <w:bCs/>
          <w:i/>
          <w:iCs/>
        </w:rPr>
        <w:fldChar w:fldCharType="separate"/>
      </w:r>
      <w:r>
        <w:rPr>
          <w:rFonts w:hint="eastAsia"/>
          <w:b/>
          <w:bCs/>
          <w:i/>
          <w:iCs/>
        </w:rPr>
        <w:t>Cambridge University Press &amp; Assessment</w:t>
      </w:r>
      <w:r>
        <w:rPr>
          <w:rFonts w:hint="eastAsia"/>
          <w:b/>
          <w:bCs/>
          <w:i/>
          <w:iCs/>
        </w:rPr>
        <w:fldChar w:fldCharType="end"/>
      </w:r>
    </w:p>
    <w:p w14:paraId="2F685966">
      <w:pPr>
        <w:jc w:val="both"/>
        <w:rPr>
          <w:rFonts w:hint="eastAsia"/>
          <w:b w:val="0"/>
          <w:bCs w:val="0"/>
          <w:i w:val="0"/>
          <w:iCs w:val="0"/>
        </w:rPr>
      </w:pPr>
    </w:p>
    <w:p w14:paraId="36745884">
      <w:pPr>
        <w:jc w:val="both"/>
        <w:rPr>
          <w:rFonts w:hint="eastAsia"/>
          <w:b w:val="0"/>
          <w:bCs w:val="0"/>
          <w:i w:val="0"/>
          <w:iCs w:val="0"/>
        </w:rPr>
      </w:pPr>
      <w:r>
        <w:rPr>
          <w:rFonts w:hint="eastAsia"/>
          <w:b w:val="0"/>
          <w:bCs w:val="0"/>
          <w:i w:val="0"/>
          <w:iCs w:val="0"/>
        </w:rPr>
        <w:t>This evolution indicates that entities aligning with these values may strengthen their case for recognition within the international community.​</w:t>
      </w:r>
    </w:p>
    <w:p w14:paraId="6E9754C0">
      <w:pPr>
        <w:jc w:val="both"/>
        <w:rPr>
          <w:rFonts w:hint="eastAsia"/>
          <w:b w:val="0"/>
          <w:bCs w:val="0"/>
          <w:i w:val="0"/>
          <w:iCs w:val="0"/>
        </w:rPr>
      </w:pPr>
    </w:p>
    <w:p w14:paraId="00F39A43">
      <w:pPr>
        <w:jc w:val="both"/>
        <w:rPr>
          <w:rFonts w:hint="eastAsia"/>
          <w:b/>
          <w:bCs/>
          <w:i w:val="0"/>
          <w:iCs w:val="0"/>
        </w:rPr>
      </w:pPr>
      <w:r>
        <w:rPr>
          <w:rFonts w:hint="eastAsia"/>
          <w:b/>
          <w:bCs/>
          <w:i w:val="0"/>
          <w:iCs w:val="0"/>
        </w:rPr>
        <w:t>Conclusion</w:t>
      </w:r>
    </w:p>
    <w:p w14:paraId="46665BB3">
      <w:pPr>
        <w:jc w:val="both"/>
        <w:rPr>
          <w:rFonts w:hint="eastAsia"/>
          <w:b w:val="0"/>
          <w:bCs w:val="0"/>
          <w:i w:val="0"/>
          <w:iCs w:val="0"/>
        </w:rPr>
      </w:pPr>
      <w:r>
        <w:rPr>
          <w:rFonts w:hint="eastAsia"/>
          <w:b w:val="0"/>
          <w:bCs w:val="0"/>
          <w:i w:val="0"/>
          <w:iCs w:val="0"/>
        </w:rPr>
        <w:t>The recognition of Syno Aurelius can be supported by various principles and norms of international law:​</w:t>
      </w:r>
    </w:p>
    <w:p w14:paraId="4C2BE49C">
      <w:pPr>
        <w:jc w:val="both"/>
        <w:rPr>
          <w:rFonts w:hint="eastAsia"/>
          <w:b w:val="0"/>
          <w:bCs w:val="0"/>
          <w:i w:val="0"/>
          <w:iCs w:val="0"/>
        </w:rPr>
      </w:pPr>
    </w:p>
    <w:p w14:paraId="49AFB5F0">
      <w:pPr>
        <w:numPr>
          <w:ilvl w:val="0"/>
          <w:numId w:val="1"/>
        </w:numPr>
        <w:ind w:left="425" w:leftChars="0" w:hanging="425" w:firstLineChars="0"/>
        <w:jc w:val="both"/>
        <w:rPr>
          <w:rFonts w:hint="eastAsia"/>
          <w:b w:val="0"/>
          <w:bCs w:val="0"/>
          <w:i w:val="0"/>
          <w:iCs w:val="0"/>
        </w:rPr>
      </w:pPr>
      <w:r>
        <w:rPr>
          <w:rFonts w:hint="eastAsia"/>
          <w:b w:val="0"/>
          <w:bCs w:val="0"/>
          <w:i w:val="0"/>
          <w:iCs w:val="0"/>
        </w:rPr>
        <w:t xml:space="preserve">Adherence to Jus Cogens: </w:t>
      </w:r>
    </w:p>
    <w:p w14:paraId="7B3B3454">
      <w:pPr>
        <w:ind w:firstLine="720" w:firstLineChars="0"/>
        <w:jc w:val="both"/>
        <w:rPr>
          <w:rFonts w:hint="eastAsia"/>
          <w:b w:val="0"/>
          <w:bCs w:val="0"/>
          <w:i w:val="0"/>
          <w:iCs w:val="0"/>
        </w:rPr>
      </w:pPr>
      <w:r>
        <w:rPr>
          <w:rFonts w:hint="eastAsia"/>
          <w:b w:val="0"/>
          <w:bCs w:val="0"/>
          <w:i w:val="0"/>
          <w:iCs w:val="0"/>
        </w:rPr>
        <w:t>Upholding peremptory norms reinforces legitimacy.​</w:t>
      </w:r>
      <w:r>
        <w:rPr>
          <w:rFonts w:hint="eastAsia"/>
          <w:b w:val="0"/>
          <w:bCs w:val="0"/>
          <w:i w:val="0"/>
          <w:iCs w:val="0"/>
        </w:rPr>
        <w:fldChar w:fldCharType="begin"/>
      </w:r>
      <w:r>
        <w:rPr>
          <w:rFonts w:hint="eastAsia"/>
          <w:b w:val="0"/>
          <w:bCs w:val="0"/>
          <w:i w:val="0"/>
          <w:iCs w:val="0"/>
        </w:rPr>
        <w:instrText xml:space="preserve"> HYPERLINK "https://brill.com/display/book/edcoll/9789004464124/front-4.xml?utm_source=chatgpt.com" \t "_blank" </w:instrText>
      </w:r>
      <w:r>
        <w:rPr>
          <w:rFonts w:hint="eastAsia"/>
          <w:b w:val="0"/>
          <w:bCs w:val="0"/>
          <w:i w:val="0"/>
          <w:iCs w:val="0"/>
        </w:rPr>
        <w:fldChar w:fldCharType="separate"/>
      </w:r>
      <w:r>
        <w:rPr>
          <w:rFonts w:hint="eastAsia"/>
          <w:b w:val="0"/>
          <w:bCs w:val="0"/>
          <w:i w:val="0"/>
          <w:iCs w:val="0"/>
        </w:rPr>
        <w:t>European Society of International Law</w:t>
      </w:r>
      <w:r>
        <w:rPr>
          <w:rFonts w:hint="eastAsia"/>
          <w:b w:val="0"/>
          <w:bCs w:val="0"/>
          <w:i w:val="0"/>
          <w:iCs w:val="0"/>
        </w:rPr>
        <w:fldChar w:fldCharType="end"/>
      </w:r>
    </w:p>
    <w:p w14:paraId="4909459A">
      <w:pPr>
        <w:jc w:val="both"/>
        <w:rPr>
          <w:rFonts w:hint="eastAsia"/>
          <w:b w:val="0"/>
          <w:bCs w:val="0"/>
          <w:i w:val="0"/>
          <w:iCs w:val="0"/>
        </w:rPr>
      </w:pPr>
    </w:p>
    <w:p w14:paraId="30013DB0">
      <w:pPr>
        <w:numPr>
          <w:ilvl w:val="0"/>
          <w:numId w:val="1"/>
        </w:numPr>
        <w:ind w:left="425" w:leftChars="0" w:hanging="425" w:firstLineChars="0"/>
        <w:jc w:val="both"/>
        <w:rPr>
          <w:rFonts w:hint="eastAsia"/>
          <w:b w:val="0"/>
          <w:bCs w:val="0"/>
          <w:i w:val="0"/>
          <w:iCs w:val="0"/>
        </w:rPr>
      </w:pPr>
      <w:r>
        <w:rPr>
          <w:rFonts w:hint="eastAsia"/>
          <w:b w:val="0"/>
          <w:bCs w:val="0"/>
          <w:i w:val="0"/>
          <w:iCs w:val="0"/>
        </w:rPr>
        <w:t xml:space="preserve">Legal Frameworks for Recognition: </w:t>
      </w:r>
    </w:p>
    <w:p w14:paraId="15ED08C0">
      <w:pPr>
        <w:ind w:firstLine="720" w:firstLineChars="0"/>
        <w:jc w:val="both"/>
        <w:rPr>
          <w:rFonts w:hint="eastAsia"/>
          <w:b w:val="0"/>
          <w:bCs w:val="0"/>
          <w:i w:val="0"/>
          <w:iCs w:val="0"/>
        </w:rPr>
      </w:pPr>
      <w:r>
        <w:rPr>
          <w:rFonts w:hint="eastAsia"/>
          <w:b w:val="0"/>
          <w:bCs w:val="0"/>
          <w:i w:val="0"/>
          <w:iCs w:val="0"/>
        </w:rPr>
        <w:t>Emphasizing legal arguments over political interests aligns with international practices.​</w:t>
      </w:r>
      <w:r>
        <w:rPr>
          <w:rFonts w:hint="default"/>
          <w:b w:val="0"/>
          <w:bCs w:val="0"/>
          <w:i w:val="0"/>
          <w:iCs w:val="0"/>
          <w:lang w:val="en-US"/>
        </w:rPr>
        <w:tab/>
      </w:r>
      <w:r>
        <w:rPr>
          <w:rFonts w:hint="eastAsia"/>
          <w:b w:val="0"/>
          <w:bCs w:val="0"/>
          <w:i w:val="0"/>
          <w:iCs w:val="0"/>
        </w:rPr>
        <w:fldChar w:fldCharType="begin"/>
      </w:r>
      <w:r>
        <w:rPr>
          <w:rFonts w:hint="eastAsia"/>
          <w:b w:val="0"/>
          <w:bCs w:val="0"/>
          <w:i w:val="0"/>
          <w:iCs w:val="0"/>
        </w:rPr>
        <w:instrText xml:space="preserve"> HYPERLINK "https://revistia.org/index.php/ejis/article/view/5500?utm_source=chatgpt.com" \t "_blank" </w:instrText>
      </w:r>
      <w:r>
        <w:rPr>
          <w:rFonts w:hint="eastAsia"/>
          <w:b w:val="0"/>
          <w:bCs w:val="0"/>
          <w:i w:val="0"/>
          <w:iCs w:val="0"/>
        </w:rPr>
        <w:fldChar w:fldCharType="separate"/>
      </w:r>
      <w:r>
        <w:rPr>
          <w:rFonts w:hint="eastAsia"/>
          <w:b w:val="0"/>
          <w:bCs w:val="0"/>
          <w:i w:val="0"/>
          <w:iCs w:val="0"/>
        </w:rPr>
        <w:t>Revistia</w:t>
      </w:r>
      <w:r>
        <w:rPr>
          <w:rFonts w:hint="eastAsia"/>
          <w:b w:val="0"/>
          <w:bCs w:val="0"/>
          <w:i w:val="0"/>
          <w:iCs w:val="0"/>
        </w:rPr>
        <w:fldChar w:fldCharType="end"/>
      </w:r>
    </w:p>
    <w:p w14:paraId="158094BB">
      <w:pPr>
        <w:jc w:val="both"/>
        <w:rPr>
          <w:rFonts w:hint="eastAsia"/>
          <w:b w:val="0"/>
          <w:bCs w:val="0"/>
          <w:i w:val="0"/>
          <w:iCs w:val="0"/>
        </w:rPr>
      </w:pPr>
    </w:p>
    <w:p w14:paraId="72BFA70F">
      <w:pPr>
        <w:numPr>
          <w:ilvl w:val="0"/>
          <w:numId w:val="1"/>
        </w:numPr>
        <w:ind w:left="425" w:leftChars="0" w:hanging="425" w:firstLineChars="0"/>
        <w:jc w:val="both"/>
        <w:rPr>
          <w:rFonts w:hint="eastAsia"/>
          <w:b w:val="0"/>
          <w:bCs w:val="0"/>
          <w:i w:val="0"/>
          <w:iCs w:val="0"/>
        </w:rPr>
      </w:pPr>
      <w:r>
        <w:rPr>
          <w:rFonts w:hint="eastAsia"/>
          <w:b w:val="0"/>
          <w:bCs w:val="0"/>
          <w:i w:val="0"/>
          <w:iCs w:val="0"/>
        </w:rPr>
        <w:t xml:space="preserve">Right to Self-Determination: </w:t>
      </w:r>
    </w:p>
    <w:p w14:paraId="68F26A7F">
      <w:pPr>
        <w:ind w:firstLine="720" w:firstLineChars="0"/>
        <w:jc w:val="both"/>
        <w:rPr>
          <w:rFonts w:hint="eastAsia"/>
          <w:b w:val="0"/>
          <w:bCs w:val="0"/>
          <w:i w:val="0"/>
          <w:iCs w:val="0"/>
        </w:rPr>
      </w:pPr>
      <w:r>
        <w:rPr>
          <w:rFonts w:hint="eastAsia"/>
          <w:b w:val="0"/>
          <w:bCs w:val="0"/>
          <w:i w:val="0"/>
          <w:iCs w:val="0"/>
        </w:rPr>
        <w:t>Reflecting the collective will of a community supports claims to statehood.​</w:t>
      </w:r>
    </w:p>
    <w:p w14:paraId="52616FAC">
      <w:pPr>
        <w:jc w:val="both"/>
        <w:rPr>
          <w:rFonts w:hint="eastAsia"/>
          <w:b w:val="0"/>
          <w:bCs w:val="0"/>
          <w:i w:val="0"/>
          <w:iCs w:val="0"/>
        </w:rPr>
      </w:pPr>
    </w:p>
    <w:p w14:paraId="3AF6C0BC">
      <w:pPr>
        <w:numPr>
          <w:ilvl w:val="0"/>
          <w:numId w:val="1"/>
        </w:numPr>
        <w:ind w:left="425" w:leftChars="0" w:hanging="425" w:firstLineChars="0"/>
        <w:jc w:val="both"/>
        <w:rPr>
          <w:rFonts w:hint="eastAsia"/>
          <w:b w:val="0"/>
          <w:bCs w:val="0"/>
          <w:i w:val="0"/>
          <w:iCs w:val="0"/>
        </w:rPr>
      </w:pPr>
      <w:r>
        <w:rPr>
          <w:rFonts w:hint="eastAsia"/>
          <w:b w:val="0"/>
          <w:bCs w:val="0"/>
          <w:i w:val="0"/>
          <w:iCs w:val="0"/>
        </w:rPr>
        <w:t xml:space="preserve">Sovereign Equality: </w:t>
      </w:r>
    </w:p>
    <w:p w14:paraId="54ED17F4">
      <w:pPr>
        <w:ind w:firstLine="720" w:firstLineChars="0"/>
        <w:jc w:val="both"/>
        <w:rPr>
          <w:rFonts w:hint="eastAsia"/>
          <w:b w:val="0"/>
          <w:bCs w:val="0"/>
          <w:i w:val="0"/>
          <w:iCs w:val="0"/>
        </w:rPr>
      </w:pPr>
      <w:r>
        <w:rPr>
          <w:rFonts w:hint="eastAsia"/>
          <w:b w:val="0"/>
          <w:bCs w:val="0"/>
          <w:i w:val="0"/>
          <w:iCs w:val="0"/>
        </w:rPr>
        <w:t xml:space="preserve">Asserting equal rights under the </w:t>
      </w:r>
      <w:r>
        <w:rPr>
          <w:rFonts w:hint="default"/>
          <w:b w:val="0"/>
          <w:bCs w:val="0"/>
          <w:i w:val="0"/>
          <w:iCs w:val="0"/>
          <w:lang w:val="en-US"/>
        </w:rPr>
        <w:t>Westphalia</w:t>
      </w:r>
      <w:r>
        <w:rPr>
          <w:rFonts w:hint="eastAsia"/>
          <w:b w:val="0"/>
          <w:bCs w:val="0"/>
          <w:i w:val="0"/>
          <w:iCs w:val="0"/>
        </w:rPr>
        <w:t xml:space="preserve"> system validates sovereignty claims.​</w:t>
      </w:r>
    </w:p>
    <w:p w14:paraId="641D69F1">
      <w:pPr>
        <w:jc w:val="both"/>
        <w:rPr>
          <w:rFonts w:hint="eastAsia"/>
          <w:b w:val="0"/>
          <w:bCs w:val="0"/>
          <w:i w:val="0"/>
          <w:iCs w:val="0"/>
        </w:rPr>
      </w:pPr>
    </w:p>
    <w:p w14:paraId="64400F14">
      <w:pPr>
        <w:numPr>
          <w:ilvl w:val="0"/>
          <w:numId w:val="1"/>
        </w:numPr>
        <w:ind w:left="425" w:leftChars="0" w:hanging="425" w:firstLineChars="0"/>
        <w:jc w:val="both"/>
        <w:rPr>
          <w:rFonts w:hint="eastAsia"/>
          <w:b w:val="0"/>
          <w:bCs w:val="0"/>
          <w:i w:val="0"/>
          <w:iCs w:val="0"/>
        </w:rPr>
      </w:pPr>
      <w:r>
        <w:rPr>
          <w:rFonts w:hint="eastAsia"/>
          <w:b w:val="0"/>
          <w:bCs w:val="0"/>
          <w:i w:val="0"/>
          <w:iCs w:val="0"/>
        </w:rPr>
        <w:t xml:space="preserve">Alignment with Evolving Criteria: </w:t>
      </w:r>
    </w:p>
    <w:p w14:paraId="5DB7982C">
      <w:pPr>
        <w:ind w:firstLine="720" w:firstLineChars="0"/>
        <w:jc w:val="both"/>
        <w:rPr>
          <w:rFonts w:hint="eastAsia"/>
          <w:b w:val="0"/>
          <w:bCs w:val="0"/>
          <w:i w:val="0"/>
          <w:iCs w:val="0"/>
        </w:rPr>
      </w:pPr>
      <w:r>
        <w:rPr>
          <w:rFonts w:hint="eastAsia"/>
          <w:b w:val="0"/>
          <w:bCs w:val="0"/>
          <w:i w:val="0"/>
          <w:iCs w:val="0"/>
        </w:rPr>
        <w:t>Demonstrating commitment to democracy and human rights aligns with modern recognition standards.​</w:t>
      </w:r>
    </w:p>
    <w:p w14:paraId="5F2CD817">
      <w:pPr>
        <w:jc w:val="both"/>
        <w:rPr>
          <w:rFonts w:hint="eastAsia"/>
          <w:b w:val="0"/>
          <w:bCs w:val="0"/>
          <w:i w:val="0"/>
          <w:iCs w:val="0"/>
        </w:rPr>
      </w:pPr>
    </w:p>
    <w:p w14:paraId="264A3107">
      <w:pPr>
        <w:jc w:val="both"/>
        <w:rPr>
          <w:rFonts w:hint="eastAsia"/>
          <w:b w:val="0"/>
          <w:bCs w:val="0"/>
          <w:i w:val="0"/>
          <w:iCs w:val="0"/>
        </w:rPr>
      </w:pPr>
      <w:r>
        <w:rPr>
          <w:rFonts w:hint="eastAsia"/>
          <w:b w:val="0"/>
          <w:bCs w:val="0"/>
          <w:i w:val="0"/>
          <w:iCs w:val="0"/>
        </w:rPr>
        <w:t>By grounding its claim in these established principles, Syno Aurelius can present a compelling case for recognition within the international legal order.</w:t>
      </w:r>
    </w:p>
    <w:p w14:paraId="628CBED1">
      <w:pPr>
        <w:jc w:val="both"/>
        <w:rPr>
          <w:rFonts w:hint="eastAsia"/>
          <w:b w:val="0"/>
          <w:bCs w:val="0"/>
          <w:i w:val="0"/>
          <w:iCs w:val="0"/>
        </w:rPr>
      </w:pPr>
    </w:p>
    <w:p w14:paraId="3F010E9E">
      <w:pPr>
        <w:jc w:val="both"/>
        <w:rPr>
          <w:b w:val="0"/>
          <w:bCs w:val="0"/>
          <w:i w:val="0"/>
          <w:iCs w:val="0"/>
        </w:rPr>
      </w:pPr>
    </w:p>
    <w:p w14:paraId="107A0938">
      <w:pPr>
        <w:jc w:val="both"/>
        <w:rPr>
          <w:b w:val="0"/>
          <w:bCs w:val="0"/>
        </w:rPr>
      </w:pPr>
      <w:r>
        <w:rPr>
          <w:b w:val="0"/>
          <w:bCs w:val="0"/>
          <w:i w:val="0"/>
          <w:iCs w:val="0"/>
        </w:rPr>
        <w:t xml:space="preserve">This document outlines the critical legal and philosophical underpinnings supporting the existence of Syno Aurelius. It draws from a wealth of international legal sources, doctrines, and treaties to argue that Syno Aurelius' digital sovereignty and right to self-determination are both valid and grounded in </w:t>
      </w:r>
      <w:r>
        <w:rPr>
          <w:b w:val="0"/>
          <w:bCs w:val="0"/>
        </w:rPr>
        <w:t>law, providing a solid foundation for its ongoing development as a global entity.</w:t>
      </w:r>
    </w:p>
    <w:p w14:paraId="35D881D5">
      <w:pPr>
        <w:jc w:val="both"/>
        <w:rPr>
          <w:b w:val="0"/>
          <w:bCs w:val="0"/>
        </w:rPr>
      </w:pPr>
    </w:p>
    <w:p w14:paraId="215A6367">
      <w:pPr>
        <w:jc w:val="both"/>
        <w:rPr>
          <w:b w:val="0"/>
          <w:bCs w:val="0"/>
        </w:rPr>
      </w:pPr>
    </w:p>
    <w:p w14:paraId="00B82A0D">
      <w:pPr>
        <w:jc w:val="both"/>
        <w:rPr>
          <w:b w:val="0"/>
          <w:bCs w:val="0"/>
        </w:rPr>
      </w:pPr>
    </w:p>
    <w:sectPr>
      <w:headerReference r:id="rId3"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0F4C8">
    <w:pPr>
      <w:pStyle w:val="7"/>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E2C21">
                          <w:pPr>
                            <w:pStyle w:val="7"/>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07E2C21">
                    <w:pPr>
                      <w:pStyle w:val="7"/>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p>
                </w:txbxContent>
              </v:textbox>
            </v:shape>
          </w:pict>
        </mc:Fallback>
      </mc:AlternateContent>
    </w:r>
    <w:r>
      <w:rPr>
        <w:rFonts w:hint="default"/>
        <w:lang w:val="en-US"/>
      </w:rPr>
      <w:drawing>
        <wp:inline distT="0" distB="0" distL="114300" distR="114300">
          <wp:extent cx="1466850" cy="880110"/>
          <wp:effectExtent l="0" t="0" r="0" b="15240"/>
          <wp:docPr id="1" name="Picture 1"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ARCH LOGO"/>
                  <pic:cNvPicPr>
                    <a:picLocks noChangeAspect="1"/>
                  </pic:cNvPicPr>
                </pic:nvPicPr>
                <pic:blipFill>
                  <a:blip r:embed="rId1"/>
                  <a:stretch>
                    <a:fillRect/>
                  </a:stretch>
                </pic:blipFill>
                <pic:spPr>
                  <a:xfrm>
                    <a:off x="0" y="0"/>
                    <a:ext cx="1466850" cy="880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569A5"/>
    <w:multiLevelType w:val="singleLevel"/>
    <w:tmpl w:val="986569A5"/>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C6845"/>
    <w:rsid w:val="1B4C39B9"/>
    <w:rsid w:val="2F4457A1"/>
    <w:rsid w:val="6FAC6845"/>
    <w:rsid w:val="739E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basedOn w:val="1"/>
    <w:qFormat/>
    <w:uiPriority w:val="0"/>
    <w:rPr>
      <w:sz w:val="24"/>
      <w:szCs w:val="24"/>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2025-04-28T14:48:00Z</dcterms:created>
  <dc:creator>MONARCH</dc:creator>
  <cp:lastModifiedBy>Luke Lottering</cp:lastModifiedBy>
  <dcterms:modified xsi:type="dcterms:W3CDTF">2025-09-20T13:45:18Z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E12F5F8904E64741AAF669C3314C9944_13</vt:lpwstr>
  </property>
</Properties>
</file>