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F207B84">
      <w:r>
        <w:rPr>
          <w:sz w:val="20"/>
        </w:rPr>
        <mc:AlternateContent>
          <mc:Choice Requires="wps">
            <w:drawing>
              <wp:anchor distT="0" distB="0" distL="114300" distR="114300" simplePos="0" relativeHeight="251659264" behindDoc="0" locked="0" layoutInCell="1" allowOverlap="1">
                <wp:simplePos x="0" y="0"/>
                <wp:positionH relativeFrom="column">
                  <wp:posOffset>937260</wp:posOffset>
                </wp:positionH>
                <wp:positionV relativeFrom="paragraph">
                  <wp:posOffset>137160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5EDAB">
                            <w:pPr>
                              <w:jc w:val="center"/>
                              <w:rPr>
                                <w:rFonts w:hint="default"/>
                                <w:b/>
                                <w:bCs/>
                                <w:color w:val="000000" w:themeColor="text1"/>
                                <w:sz w:val="44"/>
                                <w:szCs w:val="44"/>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4"/>
                                <w:szCs w:val="44"/>
                                <w:lang w:val="en-US"/>
                                <w14:shadow w14:blurRad="38100" w14:dist="19050" w14:dir="2700000" w14:sx="100000" w14:sy="100000" w14:kx="0" w14:ky="0" w14:algn="tl">
                                  <w14:schemeClr w14:val="dk1">
                                    <w14:alpha w14:val="60000"/>
                                  </w14:schemeClr>
                                </w14:shadow>
                                <w14:textFill>
                                  <w14:solidFill>
                                    <w14:schemeClr w14:val="tx1"/>
                                  </w14:solidFill>
                                </w14:textFill>
                              </w:rPr>
                              <w:t>REGISTRATION CERTIFICATE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73.8pt;margin-top:10.8pt;height:144pt;width:144pt;mso-wrap-distance-bottom:0pt;mso-wrap-distance-left:9pt;mso-wrap-distance-right:9pt;mso-wrap-distance-top:0pt;mso-wrap-style:none;z-index:251659264;mso-width-relative:page;mso-height-relative:page;" filled="f" stroked="f" coordsize="21600,21600" o:gfxdata="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jOqLNgAAAAKAQAADwAAAAAAAAABACAAAAAiAAAAZHJzL2Rvd25yZXYueG1sUEsBAhQAFAAAAAgA&#10;h07iQApgYCElAgAAZgQAAA4AAAAAAAAAAQAgAAAAJwEAAGRycy9lMm9Eb2MueG1sUEsFBgAAAAAG&#10;AAYAWQEAAL4FAAAAAA==&#10;">
                <v:fill on="f" focussize="0,0"/>
                <v:stroke on="f" weight="0.5pt"/>
                <v:imagedata o:title=""/>
                <o:lock v:ext="edit" aspectratio="f"/>
                <v:textbox style="mso-fit-shape-to-text:t;">
                  <w:txbxContent>
                    <w:p w14:paraId="4145EDAB">
                      <w:pPr>
                        <w:jc w:val="center"/>
                        <w:rPr>
                          <w:rFonts w:hint="default"/>
                          <w:b/>
                          <w:bCs/>
                          <w:color w:val="000000" w:themeColor="text1"/>
                          <w:sz w:val="44"/>
                          <w:szCs w:val="44"/>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4"/>
                          <w:szCs w:val="44"/>
                          <w:lang w:val="en-US"/>
                          <w14:shadow w14:blurRad="38100" w14:dist="19050" w14:dir="2700000" w14:sx="100000" w14:sy="100000" w14:kx="0" w14:ky="0" w14:algn="tl">
                            <w14:schemeClr w14:val="dk1">
                              <w14:alpha w14:val="60000"/>
                            </w14:schemeClr>
                          </w14:shadow>
                          <w14:textFill>
                            <w14:solidFill>
                              <w14:schemeClr w14:val="tx1"/>
                            </w14:solidFill>
                          </w14:textFill>
                        </w:rPr>
                        <w:t>REGISTRATION CERTIFICATE</w:t>
                      </w:r>
                    </w:p>
                  </w:txbxContent>
                </v:textbox>
                <w10:wrap type="square"/>
              </v:shape>
            </w:pict>
          </mc:Fallback>
        </mc:AlternateContent>
      </w:r>
    </w:p>
    <w:p w14:paraId="73DD2056">
      <w:pPr>
        <w:jc w:val="center"/>
        <w:rPr>
          <w:rFonts w:hint="default"/>
          <w:b w:val="0"/>
          <w:bCs w:val="0"/>
          <w:sz w:val="20"/>
          <w:szCs w:val="20"/>
          <w:lang w:val="en-US"/>
        </w:rPr>
      </w:pPr>
    </w:p>
    <w:p w14:paraId="022434EE">
      <w:pPr>
        <w:jc w:val="center"/>
        <w:rPr>
          <w:rFonts w:hint="default"/>
          <w:b w:val="0"/>
          <w:bCs w:val="0"/>
          <w:sz w:val="20"/>
          <w:szCs w:val="20"/>
          <w:lang w:val="en-US"/>
        </w:rPr>
      </w:pPr>
    </w:p>
    <w:p w14:paraId="5544A7C8">
      <w:pPr>
        <w:jc w:val="center"/>
        <w:rPr>
          <w:rFonts w:hint="default"/>
          <w:b w:val="0"/>
          <w:bCs w:val="0"/>
          <w:sz w:val="20"/>
          <w:szCs w:val="20"/>
          <w:lang w:val="en-US"/>
        </w:rPr>
      </w:pPr>
    </w:p>
    <w:p w14:paraId="51C4CD02">
      <w:pPr>
        <w:jc w:val="center"/>
        <w:rPr>
          <w:rFonts w:hint="default"/>
          <w:b w:val="0"/>
          <w:bCs w:val="0"/>
          <w:sz w:val="20"/>
          <w:szCs w:val="20"/>
          <w:lang w:val="en-US"/>
        </w:rPr>
      </w:pPr>
    </w:p>
    <w:p w14:paraId="2A9EA9E4">
      <w:pPr>
        <w:jc w:val="center"/>
        <w:rPr>
          <w:rFonts w:hint="default"/>
          <w:b w:val="0"/>
          <w:bCs w:val="0"/>
          <w:sz w:val="20"/>
          <w:szCs w:val="20"/>
          <w:lang w:val="en-US"/>
        </w:rPr>
      </w:pPr>
      <w:r>
        <w:rPr>
          <w:rFonts w:hint="default"/>
          <w:b w:val="0"/>
          <w:bCs w:val="0"/>
          <w:sz w:val="20"/>
          <w:szCs w:val="20"/>
          <w:lang w:val="en-US"/>
        </w:rPr>
        <w:t>Issued by Royal Decree from the Monarch of Syno Aurelius as the Official Title Holder and Seal Bearer of the Constitutional Monarchy of Syno Aurelius and according to the authority vested in me by the Monarchs Act, Act 1 of 2019 and the Constitution Act, Act 2 of 2019</w:t>
      </w:r>
    </w:p>
    <w:p w14:paraId="7CDF7C76">
      <w:pPr>
        <w:jc w:val="center"/>
        <w:rPr>
          <w:rFonts w:hint="default"/>
          <w:b w:val="0"/>
          <w:bCs w:val="0"/>
          <w:sz w:val="20"/>
          <w:szCs w:val="20"/>
          <w:lang w:val="en-US"/>
        </w:rPr>
      </w:pPr>
      <w:r>
        <w:rPr>
          <w:rFonts w:hint="default"/>
          <w:b w:val="0"/>
          <w:bCs w:val="0"/>
          <w:sz w:val="20"/>
          <w:szCs w:val="20"/>
          <w:lang w:val="en-US"/>
        </w:rPr>
        <w:t>This Registration Certificate serves to confirm that the National State Bank is duly Registered and Incorporated as  the Central Bank of Syno Aurelius with all the responsibilities and obligations thereto attached from this day on.</w:t>
      </w:r>
    </w:p>
    <w:p w14:paraId="5B7C1EA4">
      <w:pPr>
        <w:jc w:val="center"/>
        <w:rPr>
          <w:rFonts w:hint="default"/>
          <w:b w:val="0"/>
          <w:bCs w:val="0"/>
          <w:sz w:val="20"/>
          <w:szCs w:val="20"/>
          <w:lang w:val="en-US"/>
        </w:rPr>
      </w:pPr>
    </w:p>
    <w:p w14:paraId="2342E5F0">
      <w:pPr>
        <w:jc w:val="center"/>
        <w:rPr>
          <w:rFonts w:hint="default"/>
          <w:b w:val="0"/>
          <w:bCs w:val="0"/>
          <w:sz w:val="20"/>
          <w:szCs w:val="20"/>
          <w:lang w:val="en-US"/>
        </w:rPr>
      </w:pPr>
    </w:p>
    <w:p w14:paraId="628C9A28">
      <w:pPr>
        <w:jc w:val="center"/>
        <w:rPr>
          <w:rFonts w:hint="default"/>
          <w:b/>
          <w:bCs/>
          <w:sz w:val="20"/>
          <w:szCs w:val="20"/>
          <w:lang w:val="en-US"/>
        </w:rPr>
      </w:pPr>
      <w:r>
        <w:rPr>
          <w:rFonts w:hint="default"/>
          <w:b/>
          <w:bCs/>
          <w:sz w:val="20"/>
          <w:szCs w:val="20"/>
          <w:lang w:val="en-US"/>
        </w:rPr>
        <w:t>Official Name</w:t>
      </w:r>
    </w:p>
    <w:p w14:paraId="71FD1C3D">
      <w:pPr>
        <w:jc w:val="center"/>
        <w:rPr>
          <w:rFonts w:hint="default"/>
          <w:b w:val="0"/>
          <w:bCs w:val="0"/>
          <w:sz w:val="20"/>
          <w:szCs w:val="20"/>
          <w:lang w:val="en-US"/>
        </w:rPr>
      </w:pPr>
      <w:r>
        <w:rPr>
          <w:rFonts w:hint="default"/>
          <w:b w:val="0"/>
          <w:bCs w:val="0"/>
          <w:sz w:val="20"/>
          <w:szCs w:val="20"/>
          <w:lang w:val="en-US"/>
        </w:rPr>
        <w:t>The National State Bank of Syno Aurelius</w:t>
      </w:r>
    </w:p>
    <w:p w14:paraId="4BD86C50">
      <w:pPr>
        <w:jc w:val="center"/>
        <w:rPr>
          <w:rFonts w:hint="default"/>
          <w:b/>
          <w:bCs/>
          <w:sz w:val="20"/>
          <w:szCs w:val="20"/>
          <w:lang w:val="en-US"/>
        </w:rPr>
      </w:pPr>
    </w:p>
    <w:p w14:paraId="5FCF95DA">
      <w:pPr>
        <w:jc w:val="center"/>
        <w:rPr>
          <w:rFonts w:hint="default"/>
          <w:b/>
          <w:bCs/>
          <w:sz w:val="20"/>
          <w:szCs w:val="20"/>
          <w:lang w:val="en-US"/>
        </w:rPr>
      </w:pPr>
      <w:r>
        <w:rPr>
          <w:rFonts w:hint="default"/>
          <w:b/>
          <w:bCs/>
          <w:sz w:val="20"/>
          <w:szCs w:val="20"/>
          <w:lang w:val="en-US"/>
        </w:rPr>
        <w:t>Abbreviation</w:t>
      </w:r>
    </w:p>
    <w:p w14:paraId="4549D38E">
      <w:pPr>
        <w:jc w:val="center"/>
        <w:rPr>
          <w:rFonts w:hint="default"/>
          <w:b w:val="0"/>
          <w:bCs w:val="0"/>
          <w:sz w:val="20"/>
          <w:szCs w:val="20"/>
          <w:lang w:val="en-US"/>
        </w:rPr>
      </w:pPr>
      <w:r>
        <w:rPr>
          <w:rFonts w:hint="default"/>
          <w:b w:val="0"/>
          <w:bCs w:val="0"/>
          <w:sz w:val="20"/>
          <w:szCs w:val="20"/>
          <w:lang w:val="en-US"/>
        </w:rPr>
        <w:t>NSB-SA</w:t>
      </w:r>
    </w:p>
    <w:p w14:paraId="7152FF15">
      <w:pPr>
        <w:jc w:val="center"/>
        <w:rPr>
          <w:rFonts w:hint="default"/>
          <w:b w:val="0"/>
          <w:bCs w:val="0"/>
          <w:sz w:val="20"/>
          <w:szCs w:val="20"/>
          <w:lang w:val="en-US"/>
        </w:rPr>
      </w:pPr>
    </w:p>
    <w:p w14:paraId="5DFE91A9">
      <w:pPr>
        <w:jc w:val="center"/>
        <w:rPr>
          <w:rFonts w:hint="default"/>
          <w:b/>
          <w:bCs/>
          <w:sz w:val="20"/>
          <w:szCs w:val="20"/>
          <w:lang w:val="en-US"/>
        </w:rPr>
      </w:pPr>
      <w:r>
        <w:rPr>
          <w:rFonts w:hint="default"/>
          <w:b/>
          <w:bCs/>
          <w:sz w:val="20"/>
          <w:szCs w:val="20"/>
          <w:lang w:val="en-US"/>
        </w:rPr>
        <w:t>Registration Number</w:t>
      </w:r>
    </w:p>
    <w:p w14:paraId="30E61DBF">
      <w:pPr>
        <w:jc w:val="center"/>
        <w:rPr>
          <w:rFonts w:hint="default"/>
          <w:b/>
          <w:bCs/>
          <w:sz w:val="20"/>
          <w:szCs w:val="20"/>
          <w:lang w:val="en-US"/>
        </w:rPr>
      </w:pPr>
      <w:r>
        <w:rPr>
          <w:rFonts w:hint="default"/>
          <w:b/>
          <w:bCs/>
          <w:sz w:val="20"/>
          <w:szCs w:val="20"/>
          <w:lang w:val="en-US"/>
        </w:rPr>
        <w:t>B/01/1305/2019</w:t>
      </w:r>
    </w:p>
    <w:p w14:paraId="49BD0B3F">
      <w:pPr>
        <w:jc w:val="center"/>
        <w:rPr>
          <w:rFonts w:hint="default"/>
          <w:b w:val="0"/>
          <w:bCs w:val="0"/>
          <w:sz w:val="20"/>
          <w:szCs w:val="20"/>
          <w:lang w:val="en-US"/>
        </w:rPr>
      </w:pPr>
    </w:p>
    <w:p w14:paraId="47F33000">
      <w:pPr>
        <w:jc w:val="center"/>
        <w:rPr>
          <w:rFonts w:hint="default"/>
          <w:b/>
          <w:bCs/>
          <w:sz w:val="20"/>
          <w:szCs w:val="20"/>
          <w:lang w:val="en-US"/>
        </w:rPr>
      </w:pPr>
      <w:r>
        <w:rPr>
          <w:rFonts w:hint="default"/>
          <w:b/>
          <w:bCs/>
          <w:sz w:val="20"/>
          <w:szCs w:val="20"/>
          <w:lang w:val="en-US"/>
        </w:rPr>
        <w:t>Date Issued</w:t>
      </w:r>
    </w:p>
    <w:p w14:paraId="7EF19DE3">
      <w:pPr>
        <w:jc w:val="center"/>
        <w:rPr>
          <w:rFonts w:hint="default"/>
          <w:b w:val="0"/>
          <w:bCs w:val="0"/>
          <w:sz w:val="20"/>
          <w:szCs w:val="20"/>
          <w:lang w:val="en-US"/>
        </w:rPr>
      </w:pPr>
      <w:r>
        <w:rPr>
          <w:rFonts w:hint="default"/>
          <w:b w:val="0"/>
          <w:bCs w:val="0"/>
          <w:sz w:val="20"/>
          <w:szCs w:val="20"/>
          <w:lang w:val="en-US"/>
        </w:rPr>
        <w:t>13 May 2019</w:t>
      </w:r>
    </w:p>
    <w:p w14:paraId="0C120255">
      <w:pPr>
        <w:jc w:val="center"/>
        <w:rPr>
          <w:rFonts w:hint="default"/>
          <w:b w:val="0"/>
          <w:bCs w:val="0"/>
          <w:sz w:val="20"/>
          <w:szCs w:val="20"/>
          <w:lang w:val="en-US"/>
        </w:rPr>
      </w:pPr>
    </w:p>
    <w:p w14:paraId="0AFB657F">
      <w:pPr>
        <w:jc w:val="center"/>
        <w:rPr>
          <w:rFonts w:hint="default"/>
          <w:b/>
          <w:bCs/>
          <w:sz w:val="20"/>
          <w:szCs w:val="20"/>
          <w:lang w:val="en-US"/>
        </w:rPr>
      </w:pPr>
      <w:r>
        <w:rPr>
          <w:rFonts w:hint="default"/>
          <w:b/>
          <w:bCs/>
          <w:sz w:val="20"/>
          <w:szCs w:val="20"/>
          <w:lang w:val="en-US"/>
        </w:rPr>
        <w:t>License Type</w:t>
      </w:r>
    </w:p>
    <w:p w14:paraId="3F53EA44">
      <w:pPr>
        <w:jc w:val="center"/>
        <w:rPr>
          <w:rFonts w:hint="default"/>
          <w:b w:val="0"/>
          <w:bCs w:val="0"/>
          <w:sz w:val="20"/>
          <w:szCs w:val="20"/>
          <w:lang w:val="en-US"/>
        </w:rPr>
      </w:pPr>
      <w:r>
        <w:rPr>
          <w:rFonts w:hint="default"/>
          <w:b w:val="0"/>
          <w:bCs w:val="0"/>
          <w:sz w:val="20"/>
          <w:szCs w:val="20"/>
          <w:lang w:val="en-US"/>
        </w:rPr>
        <w:t>Central Bank, Regulatory, Supervisory and Prudential Authority</w:t>
      </w:r>
    </w:p>
    <w:p w14:paraId="05F7482F">
      <w:pPr>
        <w:jc w:val="center"/>
        <w:rPr>
          <w:rFonts w:hint="default"/>
          <w:b w:val="0"/>
          <w:bCs w:val="0"/>
          <w:sz w:val="20"/>
          <w:szCs w:val="20"/>
          <w:lang w:val="en-US"/>
        </w:rPr>
      </w:pPr>
    </w:p>
    <w:p w14:paraId="4FB9686E">
      <w:pPr>
        <w:jc w:val="center"/>
        <w:rPr>
          <w:rFonts w:hint="default"/>
          <w:b/>
          <w:bCs/>
          <w:sz w:val="20"/>
          <w:szCs w:val="20"/>
          <w:lang w:val="en-US"/>
        </w:rPr>
      </w:pPr>
      <w:r>
        <w:rPr>
          <w:rFonts w:hint="default"/>
          <w:b/>
          <w:bCs/>
          <w:sz w:val="20"/>
          <w:szCs w:val="20"/>
          <w:lang w:val="en-US"/>
        </w:rPr>
        <w:t>License Number</w:t>
      </w:r>
      <w:bookmarkStart w:id="0" w:name="_GoBack"/>
      <w:bookmarkEnd w:id="0"/>
    </w:p>
    <w:p w14:paraId="7D688746">
      <w:pPr>
        <w:jc w:val="center"/>
        <w:rPr>
          <w:rFonts w:hint="default"/>
          <w:b w:val="0"/>
          <w:bCs w:val="0"/>
          <w:sz w:val="20"/>
          <w:szCs w:val="20"/>
          <w:lang w:val="en-US"/>
        </w:rPr>
      </w:pPr>
      <w:r>
        <w:rPr>
          <w:rFonts w:hint="default"/>
          <w:b w:val="0"/>
          <w:bCs w:val="0"/>
          <w:sz w:val="20"/>
          <w:szCs w:val="20"/>
          <w:lang w:val="en-US"/>
        </w:rPr>
        <w:t>NSB/100001/13052019</w:t>
      </w:r>
    </w:p>
    <w:p w14:paraId="778606D8">
      <w:pPr>
        <w:jc w:val="both"/>
        <w:rPr>
          <w:rFonts w:hint="default"/>
          <w:b w:val="0"/>
          <w:bCs w:val="0"/>
          <w:sz w:val="20"/>
          <w:szCs w:val="20"/>
          <w:lang w:val="en-US"/>
        </w:rPr>
      </w:pPr>
    </w:p>
    <w:p w14:paraId="7AA447CC">
      <w:pPr>
        <w:jc w:val="both"/>
        <w:rPr>
          <w:rFonts w:hint="default"/>
          <w:b w:val="0"/>
          <w:bCs w:val="0"/>
          <w:sz w:val="20"/>
          <w:szCs w:val="20"/>
          <w:lang w:val="en-US"/>
        </w:rPr>
      </w:pPr>
    </w:p>
    <w:p w14:paraId="7248F8A0">
      <w:pPr>
        <w:jc w:val="both"/>
        <w:rPr>
          <w:rFonts w:hint="default"/>
          <w:b w:val="0"/>
          <w:bCs w:val="0"/>
          <w:sz w:val="20"/>
          <w:szCs w:val="20"/>
          <w:lang w:val="en-US"/>
        </w:rPr>
      </w:pPr>
    </w:p>
    <w:p w14:paraId="43738CF1">
      <w:pPr>
        <w:jc w:val="center"/>
        <w:rPr>
          <w:rFonts w:hint="default"/>
          <w:b w:val="0"/>
          <w:bCs w:val="0"/>
          <w:i/>
          <w:iCs/>
          <w:sz w:val="20"/>
          <w:szCs w:val="20"/>
          <w:lang w:val="en-US"/>
        </w:rPr>
      </w:pPr>
      <w:r>
        <w:rPr>
          <w:rFonts w:hint="default"/>
          <w:b w:val="0"/>
          <w:bCs w:val="0"/>
          <w:i/>
          <w:iCs/>
          <w:sz w:val="20"/>
          <w:szCs w:val="20"/>
          <w:lang w:val="en-US"/>
        </w:rPr>
        <w:t>In Deo speramus / In God we trust</w:t>
      </w:r>
    </w:p>
    <w:p w14:paraId="123D63C1">
      <w:pPr>
        <w:jc w:val="both"/>
        <w:rPr>
          <w:rFonts w:hint="default"/>
          <w:b w:val="0"/>
          <w:bCs w:val="0"/>
          <w:i/>
          <w:iCs/>
          <w:sz w:val="20"/>
          <w:szCs w:val="20"/>
          <w:lang w:val="en-US"/>
        </w:rPr>
      </w:pPr>
    </w:p>
    <w:p w14:paraId="58B56980">
      <w:pPr>
        <w:jc w:val="both"/>
        <w:rPr>
          <w:rFonts w:hint="default"/>
          <w:b w:val="0"/>
          <w:bCs w:val="0"/>
          <w:sz w:val="20"/>
          <w:szCs w:val="20"/>
          <w:lang w:val="en-US"/>
        </w:rPr>
      </w:pPr>
    </w:p>
    <w:p w14:paraId="1BC6D0B0">
      <w:pPr>
        <w:jc w:val="both"/>
        <w:rPr>
          <w:rFonts w:hint="default"/>
          <w:b w:val="0"/>
          <w:bCs w:val="0"/>
          <w:sz w:val="20"/>
          <w:szCs w:val="20"/>
          <w:lang w:val="en-US"/>
        </w:rPr>
      </w:pPr>
    </w:p>
    <w:p w14:paraId="14BF59B2">
      <w:pPr>
        <w:jc w:val="both"/>
        <w:rPr>
          <w:rFonts w:hint="default"/>
          <w:b w:val="0"/>
          <w:bCs w:val="0"/>
          <w:sz w:val="20"/>
          <w:szCs w:val="20"/>
          <w:lang w:val="en-US"/>
        </w:rPr>
      </w:pPr>
    </w:p>
    <w:p w14:paraId="2D15F79A">
      <w:pPr>
        <w:jc w:val="both"/>
        <w:rPr>
          <w:rFonts w:hint="default"/>
          <w:b w:val="0"/>
          <w:bCs w:val="0"/>
          <w:sz w:val="20"/>
          <w:szCs w:val="20"/>
          <w:lang w:val="en-US"/>
        </w:rPr>
      </w:pPr>
    </w:p>
    <w:p w14:paraId="16652A3F">
      <w:pPr>
        <w:jc w:val="both"/>
        <w:rPr>
          <w:rFonts w:hint="default"/>
          <w:b w:val="0"/>
          <w:bCs w:val="0"/>
          <w:sz w:val="20"/>
          <w:szCs w:val="20"/>
          <w:lang w:val="en-US"/>
        </w:rPr>
      </w:pPr>
    </w:p>
    <w:p w14:paraId="3CFF98EE">
      <w:pPr>
        <w:jc w:val="both"/>
        <w:rPr>
          <w:rFonts w:hint="default"/>
          <w:b w:val="0"/>
          <w:bCs w:val="0"/>
          <w:sz w:val="20"/>
          <w:szCs w:val="20"/>
          <w:lang w:val="en-US"/>
        </w:rPr>
      </w:pPr>
    </w:p>
    <w:p w14:paraId="474A0449">
      <w:pPr>
        <w:jc w:val="left"/>
        <w:rPr>
          <w:rFonts w:hint="default"/>
          <w:b w:val="0"/>
          <w:bCs w:val="0"/>
          <w:sz w:val="20"/>
          <w:szCs w:val="20"/>
          <w:lang w:val="en-US"/>
        </w:rPr>
      </w:pPr>
    </w:p>
    <w:p w14:paraId="4D035933">
      <w:pPr>
        <w:jc w:val="center"/>
        <w:rPr>
          <w:rFonts w:hint="default"/>
          <w:b/>
          <w:bCs/>
          <w:sz w:val="20"/>
          <w:szCs w:val="20"/>
          <w:lang w:val="en-US"/>
        </w:rPr>
      </w:pPr>
      <w:r>
        <w:rPr>
          <w:rFonts w:hint="default"/>
          <w:b/>
          <w:bCs/>
          <w:sz w:val="20"/>
          <w:szCs w:val="20"/>
          <w:lang w:val="en-US"/>
        </w:rPr>
        <w:t>SEALED AND PROCLAIMED UNDER MY IMPERIAL HAND AND ROYAL SEAL</w:t>
      </w:r>
    </w:p>
    <w:p w14:paraId="3E3A1616">
      <w:pPr>
        <w:jc w:val="center"/>
        <w:rPr>
          <w:rFonts w:hint="default"/>
          <w:b w:val="0"/>
          <w:bCs w:val="0"/>
          <w:sz w:val="24"/>
          <w:szCs w:val="24"/>
          <w:lang w:val="en-US"/>
        </w:rPr>
      </w:pPr>
      <w:r>
        <w:rPr>
          <w:rFonts w:hint="default"/>
          <w:b w:val="0"/>
          <w:bCs w:val="0"/>
          <w:sz w:val="20"/>
          <w:szCs w:val="20"/>
          <w:lang w:val="en-US"/>
        </w:rPr>
        <w:t>At the Royal Court of Syno Aurelius, this 13th day of May, in the Year of Sovereign Light 2019</w:t>
      </w:r>
      <w:r>
        <w:rPr>
          <w:rFonts w:hint="default"/>
          <w:b w:val="0"/>
          <w:bCs w:val="0"/>
          <w:sz w:val="24"/>
          <w:szCs w:val="24"/>
          <w:lang w:val="en-US"/>
        </w:rPr>
        <w:t>.</w:t>
      </w:r>
    </w:p>
    <w:p w14:paraId="087F6143">
      <w:pPr>
        <w:jc w:val="both"/>
        <w:rPr>
          <w:rFonts w:hint="default"/>
          <w:b w:val="0"/>
          <w:bCs w:val="0"/>
          <w:sz w:val="24"/>
          <w:szCs w:val="24"/>
          <w:lang w:val="en-US"/>
        </w:rPr>
      </w:pPr>
    </w:p>
    <w:p w14:paraId="1FD9B9C3">
      <w:pPr>
        <w:jc w:val="center"/>
        <w:rPr>
          <w:rFonts w:hint="default"/>
          <w:b w:val="0"/>
          <w:bCs w:val="0"/>
          <w:sz w:val="24"/>
          <w:szCs w:val="24"/>
          <w:lang w:val="en-US"/>
        </w:rPr>
      </w:pPr>
      <w:r>
        <w:rPr>
          <w:rFonts w:hint="default"/>
          <w:b w:val="0"/>
          <w:bCs w:val="0"/>
          <w:sz w:val="24"/>
          <w:szCs w:val="24"/>
          <w:lang w:val="en-US"/>
        </w:rPr>
        <w:drawing>
          <wp:inline distT="0" distB="0" distL="114300" distR="114300">
            <wp:extent cx="941705" cy="565150"/>
            <wp:effectExtent l="0" t="0" r="10795" b="6350"/>
            <wp:docPr id="6" name="Picture 6"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ONARCH LOGO"/>
                    <pic:cNvPicPr>
                      <a:picLocks noChangeAspect="1"/>
                    </pic:cNvPicPr>
                  </pic:nvPicPr>
                  <pic:blipFill>
                    <a:blip r:embed="rId6"/>
                    <a:stretch>
                      <a:fillRect/>
                    </a:stretch>
                  </pic:blipFill>
                  <pic:spPr>
                    <a:xfrm>
                      <a:off x="0" y="0"/>
                      <a:ext cx="941705" cy="565150"/>
                    </a:xfrm>
                    <a:prstGeom prst="rect">
                      <a:avLst/>
                    </a:prstGeom>
                    <a:solidFill>
                      <a:schemeClr val="accent4">
                        <a:lumMod val="20000"/>
                        <a:lumOff val="80000"/>
                      </a:schemeClr>
                    </a:solidFill>
                    <a:ln w="28575" cmpd="sng">
                      <a:noFill/>
                      <a:prstDash val="solid"/>
                    </a:ln>
                  </pic:spPr>
                </pic:pic>
              </a:graphicData>
            </a:graphic>
          </wp:inline>
        </w:drawing>
      </w:r>
    </w:p>
    <w:p w14:paraId="7AA8552F">
      <w:pPr>
        <w:jc w:val="center"/>
        <w:rPr>
          <w:rFonts w:hint="default"/>
          <w:b w:val="0"/>
          <w:bCs w:val="0"/>
          <w:sz w:val="20"/>
          <w:szCs w:val="20"/>
          <w:lang w:val="en-US"/>
        </w:rPr>
      </w:pPr>
      <w:r>
        <w:rPr>
          <w:rFonts w:hint="default"/>
          <w:b w:val="0"/>
          <w:bCs w:val="0"/>
          <w:sz w:val="20"/>
          <w:szCs w:val="20"/>
          <w:lang w:val="en-US"/>
        </w:rPr>
        <w:t>His Imperial Majesty</w:t>
      </w:r>
      <w:r>
        <w:rPr>
          <w:rFonts w:hint="default"/>
          <w:b w:val="0"/>
          <w:bCs w:val="0"/>
          <w:sz w:val="20"/>
          <w:szCs w:val="20"/>
          <w:lang w:val="en-US"/>
        </w:rPr>
        <w:br w:type="textWrapping"/>
      </w:r>
      <w:r>
        <w:rPr>
          <w:rFonts w:hint="default"/>
          <w:b w:val="0"/>
          <w:bCs w:val="0"/>
          <w:sz w:val="20"/>
          <w:szCs w:val="20"/>
          <w:lang w:val="en-US"/>
        </w:rPr>
        <w:t>Imperator Grand</w:t>
      </w:r>
      <w:r>
        <w:rPr>
          <w:rFonts w:hint="default" w:ascii="Calibri Light" w:hAnsi="Calibri Light" w:cs="Calibri Light"/>
          <w:b w:val="0"/>
          <w:bCs w:val="0"/>
          <w:sz w:val="20"/>
          <w:szCs w:val="20"/>
          <w:lang w:val="en-US"/>
        </w:rPr>
        <w:t>ė</w:t>
      </w:r>
      <w:r>
        <w:rPr>
          <w:rFonts w:hint="default"/>
          <w:b w:val="0"/>
          <w:bCs w:val="0"/>
          <w:sz w:val="20"/>
          <w:szCs w:val="20"/>
          <w:lang w:val="en-US"/>
        </w:rPr>
        <w:t xml:space="preserve"> Dominus</w:t>
      </w:r>
      <w:r>
        <w:rPr>
          <w:rFonts w:hint="default"/>
          <w:b w:val="0"/>
          <w:bCs w:val="0"/>
          <w:sz w:val="20"/>
          <w:szCs w:val="20"/>
          <w:lang w:val="en-US"/>
        </w:rPr>
        <w:br w:type="textWrapping"/>
      </w:r>
      <w:r>
        <w:rPr>
          <w:rFonts w:hint="default"/>
          <w:b w:val="0"/>
          <w:bCs w:val="0"/>
          <w:sz w:val="20"/>
          <w:szCs w:val="20"/>
          <w:lang w:val="en-US"/>
        </w:rPr>
        <w:t>Kar</w:t>
      </w:r>
      <w:r>
        <w:rPr>
          <w:rFonts w:hint="default" w:ascii="Calibri Light" w:hAnsi="Calibri Light" w:cs="Calibri Light"/>
          <w:b w:val="0"/>
          <w:bCs w:val="0"/>
          <w:sz w:val="20"/>
          <w:szCs w:val="20"/>
          <w:lang w:val="en-US"/>
        </w:rPr>
        <w:t>φ</w:t>
      </w:r>
      <w:r>
        <w:rPr>
          <w:rFonts w:hint="default"/>
          <w:b w:val="0"/>
          <w:bCs w:val="0"/>
          <w:sz w:val="20"/>
          <w:szCs w:val="20"/>
          <w:lang w:val="en-US"/>
        </w:rPr>
        <w:t>lys Ignatius  Von Lotharinge</w:t>
      </w:r>
      <w:r>
        <w:rPr>
          <w:rFonts w:hint="default"/>
          <w:b w:val="0"/>
          <w:bCs w:val="0"/>
          <w:sz w:val="20"/>
          <w:szCs w:val="20"/>
          <w:lang w:val="en-US"/>
        </w:rPr>
        <w:br w:type="textWrapping"/>
      </w:r>
      <w:r>
        <w:rPr>
          <w:rFonts w:hint="default"/>
          <w:b w:val="0"/>
          <w:bCs w:val="0"/>
          <w:sz w:val="20"/>
          <w:szCs w:val="20"/>
          <w:lang w:val="en-US"/>
        </w:rPr>
        <w:t>Sovereign Monarch and Founder of the Constitutional Monarchy of Syno Aurelius</w:t>
      </w:r>
    </w:p>
    <w:p w14:paraId="45676BEE">
      <w:pPr>
        <w:jc w:val="center"/>
        <w:rPr>
          <w:rFonts w:hint="default"/>
          <w:b w:val="0"/>
          <w:bCs w:val="0"/>
          <w:sz w:val="20"/>
          <w:szCs w:val="20"/>
          <w:lang w:val="en-US"/>
        </w:rPr>
      </w:pPr>
    </w:p>
    <w:p w14:paraId="58D243EB">
      <w:pPr>
        <w:jc w:val="center"/>
        <w:rPr>
          <w:rFonts w:hint="default"/>
          <w:b w:val="0"/>
          <w:bCs w:val="0"/>
          <w:sz w:val="20"/>
          <w:szCs w:val="20"/>
          <w:lang w:val="en-US"/>
        </w:rPr>
      </w:pPr>
    </w:p>
    <w:p w14:paraId="31310EC8">
      <w:pPr>
        <w:jc w:val="center"/>
        <w:rPr>
          <w:rFonts w:hint="default"/>
          <w:b/>
          <w:bCs/>
          <w:sz w:val="20"/>
          <w:szCs w:val="20"/>
          <w:lang w:val="en-US"/>
        </w:rPr>
      </w:pPr>
      <w:r>
        <w:rPr>
          <w:rFonts w:hint="default"/>
          <w:b/>
          <w:bCs/>
          <w:sz w:val="20"/>
          <w:szCs w:val="20"/>
          <w:lang w:val="en-US"/>
        </w:rPr>
        <w:t>Appendix A</w:t>
      </w:r>
    </w:p>
    <w:p w14:paraId="76BB6477">
      <w:pPr>
        <w:jc w:val="center"/>
        <w:rPr>
          <w:rFonts w:hint="default"/>
          <w:b w:val="0"/>
          <w:bCs w:val="0"/>
          <w:sz w:val="20"/>
          <w:szCs w:val="20"/>
          <w:lang w:val="en-US"/>
        </w:rPr>
      </w:pPr>
      <w:r>
        <w:rPr>
          <w:rFonts w:hint="default"/>
          <w:b w:val="0"/>
          <w:bCs w:val="0"/>
          <w:sz w:val="20"/>
          <w:szCs w:val="20"/>
          <w:lang w:val="en-US"/>
        </w:rPr>
        <w:t>Mandate, Powers &amp; Functions of the National State Bank</w:t>
      </w:r>
      <w:r>
        <w:rPr>
          <w:rFonts w:hint="default"/>
          <w:b w:val="0"/>
          <w:bCs w:val="0"/>
          <w:sz w:val="20"/>
          <w:szCs w:val="20"/>
          <w:lang w:val="en-US"/>
        </w:rPr>
        <w:br w:type="textWrapping"/>
      </w:r>
      <w:r>
        <w:rPr>
          <w:rFonts w:hint="default"/>
          <w:b w:val="0"/>
          <w:bCs w:val="0"/>
          <w:sz w:val="20"/>
          <w:szCs w:val="20"/>
          <w:lang w:val="en-US"/>
        </w:rPr>
        <w:t>By Order of the Monarch of Syno Aurelius</w:t>
      </w:r>
      <w:r>
        <w:rPr>
          <w:rFonts w:hint="default"/>
          <w:b w:val="0"/>
          <w:bCs w:val="0"/>
          <w:sz w:val="20"/>
          <w:szCs w:val="20"/>
          <w:lang w:val="en-US"/>
        </w:rPr>
        <w:br w:type="textWrapping"/>
      </w:r>
      <w:r>
        <w:rPr>
          <w:rFonts w:hint="default"/>
          <w:b w:val="0"/>
          <w:bCs w:val="0"/>
          <w:sz w:val="20"/>
          <w:szCs w:val="20"/>
          <w:lang w:val="en-US"/>
        </w:rPr>
        <w:t>Karolys Ignatius fon Lotharinge</w:t>
      </w:r>
    </w:p>
    <w:p w14:paraId="4E570D19">
      <w:pPr>
        <w:jc w:val="center"/>
        <w:rPr>
          <w:rFonts w:hint="default"/>
          <w:b w:val="0"/>
          <w:bCs w:val="0"/>
          <w:sz w:val="20"/>
          <w:szCs w:val="20"/>
          <w:lang w:val="en-US"/>
        </w:rPr>
      </w:pPr>
    </w:p>
    <w:p w14:paraId="624BCF94">
      <w:pPr>
        <w:jc w:val="center"/>
        <w:rPr>
          <w:rFonts w:hint="default"/>
          <w:b w:val="0"/>
          <w:bCs w:val="0"/>
          <w:sz w:val="20"/>
          <w:szCs w:val="20"/>
          <w:lang w:val="en-US"/>
        </w:rPr>
      </w:pPr>
      <w:r>
        <w:rPr>
          <w:rFonts w:hint="default"/>
          <w:b/>
          <w:bCs/>
          <w:sz w:val="20"/>
          <w:szCs w:val="20"/>
          <w:lang w:val="en-US"/>
        </w:rPr>
        <w:t>Preamble</w:t>
      </w:r>
    </w:p>
    <w:p w14:paraId="3821A4D2">
      <w:pPr>
        <w:jc w:val="center"/>
        <w:rPr>
          <w:rFonts w:hint="default"/>
          <w:b w:val="0"/>
          <w:bCs w:val="0"/>
          <w:sz w:val="20"/>
          <w:szCs w:val="20"/>
          <w:lang w:val="en-US"/>
        </w:rPr>
      </w:pPr>
      <w:r>
        <w:rPr>
          <w:rFonts w:hint="default"/>
          <w:b w:val="0"/>
          <w:bCs w:val="0"/>
          <w:sz w:val="20"/>
          <w:szCs w:val="20"/>
          <w:lang w:val="en-US"/>
        </w:rPr>
        <w:t>In accordance with the foundational principles of economic sovereignty, sound governance, and monetary integrity, and by Proclamation of His Majesty, the Monarch of Syno Aurelius, the following Mandate and Functions are hereby established and assigned to the National State Bank of Syno Aurelius as an institutional organ of national and international importance.</w:t>
      </w:r>
    </w:p>
    <w:p w14:paraId="1F4E79C9">
      <w:pPr>
        <w:jc w:val="center"/>
        <w:rPr>
          <w:rFonts w:hint="default"/>
          <w:b w:val="0"/>
          <w:bCs w:val="0"/>
          <w:sz w:val="20"/>
          <w:szCs w:val="20"/>
          <w:lang w:val="en-US"/>
        </w:rPr>
      </w:pPr>
      <w:r>
        <w:rPr>
          <w:rFonts w:hint="default"/>
          <w:b w:val="0"/>
          <w:bCs w:val="0"/>
          <w:sz w:val="20"/>
          <w:szCs w:val="20"/>
          <w:lang w:val="en-US"/>
        </w:rPr>
        <w:t>This Appendix shall form an integral part of the Official Registration Certificate of the National State Bank and shall serve as the definitive statement of its authority, jurisdiction, and operational mandate.</w:t>
      </w:r>
    </w:p>
    <w:p w14:paraId="163A7315">
      <w:pPr>
        <w:jc w:val="center"/>
        <w:rPr>
          <w:rFonts w:hint="default"/>
          <w:b w:val="0"/>
          <w:bCs w:val="0"/>
          <w:sz w:val="20"/>
          <w:szCs w:val="20"/>
          <w:lang w:val="en-US"/>
        </w:rPr>
      </w:pPr>
      <w:r>
        <w:rPr>
          <w:rFonts w:hint="default"/>
          <w:b w:val="0"/>
          <w:bCs w:val="0"/>
          <w:sz w:val="20"/>
          <w:szCs w:val="20"/>
          <w:lang w:val="en-US"/>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1C01D4B">
      <w:pPr>
        <w:jc w:val="center"/>
        <w:rPr>
          <w:rFonts w:hint="default"/>
          <w:b/>
          <w:bCs/>
          <w:sz w:val="20"/>
          <w:szCs w:val="20"/>
          <w:lang w:val="en-US"/>
        </w:rPr>
      </w:pPr>
      <w:r>
        <w:rPr>
          <w:rFonts w:hint="default"/>
          <w:b/>
          <w:bCs/>
          <w:sz w:val="20"/>
          <w:szCs w:val="20"/>
          <w:lang w:val="en-US"/>
        </w:rPr>
        <w:t>1. MONETARY FUNCTIONS</w:t>
      </w:r>
    </w:p>
    <w:p w14:paraId="07EC1791">
      <w:pPr>
        <w:jc w:val="center"/>
        <w:rPr>
          <w:rFonts w:hint="default"/>
          <w:b w:val="0"/>
          <w:bCs w:val="0"/>
          <w:sz w:val="20"/>
          <w:szCs w:val="20"/>
          <w:lang w:val="en-US"/>
        </w:rPr>
      </w:pPr>
      <w:r>
        <w:rPr>
          <w:rFonts w:hint="default"/>
          <w:b w:val="0"/>
          <w:bCs w:val="0"/>
          <w:sz w:val="20"/>
          <w:szCs w:val="20"/>
          <w:lang w:val="en-US"/>
        </w:rPr>
        <w:t>1.1 Implementation and oversight of Modern Monetary Theory with a stabilizing macroeconomic effect</w:t>
      </w:r>
      <w:r>
        <w:rPr>
          <w:rFonts w:hint="default"/>
          <w:b w:val="0"/>
          <w:bCs w:val="0"/>
          <w:sz w:val="20"/>
          <w:szCs w:val="20"/>
          <w:lang w:val="en-US"/>
        </w:rPr>
        <w:br w:type="textWrapping"/>
      </w:r>
      <w:r>
        <w:rPr>
          <w:rFonts w:hint="default"/>
          <w:b w:val="0"/>
          <w:bCs w:val="0"/>
          <w:sz w:val="20"/>
          <w:szCs w:val="20"/>
          <w:lang w:val="en-US"/>
        </w:rPr>
        <w:t>1.2 Strategic Monetary Management and operations</w:t>
      </w:r>
      <w:r>
        <w:rPr>
          <w:rFonts w:hint="default"/>
          <w:b w:val="0"/>
          <w:bCs w:val="0"/>
          <w:sz w:val="20"/>
          <w:szCs w:val="20"/>
          <w:lang w:val="en-US"/>
        </w:rPr>
        <w:br w:type="textWrapping"/>
      </w:r>
      <w:r>
        <w:rPr>
          <w:rFonts w:hint="default"/>
          <w:b w:val="0"/>
          <w:bCs w:val="0"/>
          <w:sz w:val="20"/>
          <w:szCs w:val="20"/>
          <w:lang w:val="en-US"/>
        </w:rPr>
        <w:t>1.3 Collection, analysis, and publication of Monetary Statistics</w:t>
      </w:r>
      <w:r>
        <w:rPr>
          <w:rFonts w:hint="default"/>
          <w:b w:val="0"/>
          <w:bCs w:val="0"/>
          <w:sz w:val="20"/>
          <w:szCs w:val="20"/>
          <w:lang w:val="en-US"/>
        </w:rPr>
        <w:br w:type="textWrapping"/>
      </w:r>
      <w:r>
        <w:rPr>
          <w:rFonts w:hint="default"/>
          <w:b w:val="0"/>
          <w:bCs w:val="0"/>
          <w:sz w:val="20"/>
          <w:szCs w:val="20"/>
          <w:lang w:val="en-US"/>
        </w:rPr>
        <w:t>1.4 Management of Monetary Data Systems and Intelligence</w:t>
      </w:r>
    </w:p>
    <w:p w14:paraId="68867FAB">
      <w:pPr>
        <w:jc w:val="center"/>
        <w:rPr>
          <w:rFonts w:hint="default"/>
          <w:b w:val="0"/>
          <w:bCs w:val="0"/>
          <w:sz w:val="20"/>
          <w:szCs w:val="20"/>
          <w:lang w:val="en-US"/>
        </w:rPr>
      </w:pPr>
    </w:p>
    <w:p w14:paraId="28C699A0">
      <w:pPr>
        <w:jc w:val="center"/>
        <w:rPr>
          <w:rFonts w:hint="default"/>
          <w:b/>
          <w:bCs/>
          <w:sz w:val="20"/>
          <w:szCs w:val="20"/>
          <w:lang w:val="en-US"/>
        </w:rPr>
      </w:pPr>
      <w:r>
        <w:rPr>
          <w:rFonts w:hint="default"/>
          <w:b/>
          <w:bCs/>
          <w:sz w:val="20"/>
          <w:szCs w:val="20"/>
          <w:lang w:val="en-US"/>
        </w:rPr>
        <w:t>2. CURRENCY FUNCTIONS</w:t>
      </w:r>
    </w:p>
    <w:p w14:paraId="42C2E1BD">
      <w:pPr>
        <w:jc w:val="center"/>
        <w:rPr>
          <w:rFonts w:hint="default"/>
          <w:b w:val="0"/>
          <w:bCs w:val="0"/>
          <w:sz w:val="20"/>
          <w:szCs w:val="20"/>
          <w:lang w:val="en-US"/>
        </w:rPr>
      </w:pPr>
      <w:r>
        <w:rPr>
          <w:rFonts w:hint="default"/>
          <w:b w:val="0"/>
          <w:bCs w:val="0"/>
          <w:sz w:val="20"/>
          <w:szCs w:val="20"/>
          <w:lang w:val="en-US"/>
        </w:rPr>
        <w:t>2.1 Currency Management and Control, including quality, quantity, and security</w:t>
      </w:r>
      <w:r>
        <w:rPr>
          <w:rFonts w:hint="default"/>
          <w:b w:val="0"/>
          <w:bCs w:val="0"/>
          <w:sz w:val="20"/>
          <w:szCs w:val="20"/>
          <w:lang w:val="en-US"/>
        </w:rPr>
        <w:br w:type="textWrapping"/>
      </w:r>
      <w:r>
        <w:rPr>
          <w:rFonts w:hint="default"/>
          <w:b w:val="0"/>
          <w:bCs w:val="0"/>
          <w:sz w:val="20"/>
          <w:szCs w:val="20"/>
          <w:lang w:val="en-US"/>
        </w:rPr>
        <w:t>2.2 Exclusive authority to Issue National Currency in physical and digital forms</w:t>
      </w:r>
    </w:p>
    <w:p w14:paraId="087DAF4B">
      <w:pPr>
        <w:jc w:val="center"/>
        <w:rPr>
          <w:rFonts w:hint="default"/>
          <w:b w:val="0"/>
          <w:bCs w:val="0"/>
          <w:sz w:val="20"/>
          <w:szCs w:val="20"/>
          <w:lang w:val="en-US"/>
        </w:rPr>
      </w:pPr>
    </w:p>
    <w:p w14:paraId="7675F7C2">
      <w:pPr>
        <w:jc w:val="center"/>
        <w:rPr>
          <w:rFonts w:hint="default"/>
          <w:b/>
          <w:bCs/>
          <w:sz w:val="20"/>
          <w:szCs w:val="20"/>
          <w:lang w:val="en-US"/>
        </w:rPr>
      </w:pPr>
      <w:r>
        <w:rPr>
          <w:rFonts w:hint="default"/>
          <w:b/>
          <w:bCs/>
          <w:sz w:val="20"/>
          <w:szCs w:val="20"/>
          <w:lang w:val="en-US"/>
        </w:rPr>
        <w:t>3. FISCAL FUNCTIONS</w:t>
      </w:r>
    </w:p>
    <w:p w14:paraId="1C80F6AC">
      <w:pPr>
        <w:jc w:val="center"/>
        <w:rPr>
          <w:rFonts w:hint="default"/>
          <w:b w:val="0"/>
          <w:bCs w:val="0"/>
          <w:sz w:val="20"/>
          <w:szCs w:val="20"/>
          <w:lang w:val="en-US"/>
        </w:rPr>
      </w:pPr>
      <w:r>
        <w:rPr>
          <w:rFonts w:hint="default"/>
          <w:b w:val="0"/>
          <w:bCs w:val="0"/>
          <w:sz w:val="20"/>
          <w:szCs w:val="20"/>
          <w:lang w:val="en-US"/>
        </w:rPr>
        <w:t>3.1 National Fiscal Policy Management in coordination with the Ministry of Economics</w:t>
      </w:r>
      <w:r>
        <w:rPr>
          <w:rFonts w:hint="default"/>
          <w:b w:val="0"/>
          <w:bCs w:val="0"/>
          <w:sz w:val="20"/>
          <w:szCs w:val="20"/>
          <w:lang w:val="en-US"/>
        </w:rPr>
        <w:br w:type="textWrapping"/>
      </w:r>
      <w:r>
        <w:rPr>
          <w:rFonts w:hint="default"/>
          <w:b w:val="0"/>
          <w:bCs w:val="0"/>
          <w:sz w:val="20"/>
          <w:szCs w:val="20"/>
          <w:lang w:val="en-US"/>
        </w:rPr>
        <w:t>3.2 Collection and dissemination of Fiscal Statistics</w:t>
      </w:r>
      <w:r>
        <w:rPr>
          <w:rFonts w:hint="default"/>
          <w:b w:val="0"/>
          <w:bCs w:val="0"/>
          <w:sz w:val="20"/>
          <w:szCs w:val="20"/>
          <w:lang w:val="en-US"/>
        </w:rPr>
        <w:br w:type="textWrapping"/>
      </w:r>
      <w:r>
        <w:rPr>
          <w:rFonts w:hint="default"/>
          <w:b w:val="0"/>
          <w:bCs w:val="0"/>
          <w:sz w:val="20"/>
          <w:szCs w:val="20"/>
          <w:lang w:val="en-US"/>
        </w:rPr>
        <w:t>3.3 Establishment and maintenance of Fiscal Data Repositories</w:t>
      </w:r>
    </w:p>
    <w:p w14:paraId="6EB58E4F">
      <w:pPr>
        <w:jc w:val="center"/>
        <w:rPr>
          <w:rFonts w:hint="default"/>
          <w:b w:val="0"/>
          <w:bCs w:val="0"/>
          <w:sz w:val="20"/>
          <w:szCs w:val="20"/>
          <w:lang w:val="en-US"/>
        </w:rPr>
      </w:pPr>
    </w:p>
    <w:p w14:paraId="1FC4B543">
      <w:pPr>
        <w:jc w:val="center"/>
        <w:rPr>
          <w:rFonts w:hint="default"/>
          <w:b/>
          <w:bCs/>
          <w:sz w:val="20"/>
          <w:szCs w:val="20"/>
          <w:lang w:val="en-US"/>
        </w:rPr>
      </w:pPr>
      <w:r>
        <w:rPr>
          <w:rFonts w:hint="default"/>
          <w:b/>
          <w:bCs/>
          <w:sz w:val="20"/>
          <w:szCs w:val="20"/>
          <w:lang w:val="en-US"/>
        </w:rPr>
        <w:t>4. ECONOMIC FUNCTIONS</w:t>
      </w:r>
    </w:p>
    <w:p w14:paraId="4917C6C4">
      <w:pPr>
        <w:jc w:val="center"/>
        <w:rPr>
          <w:rFonts w:hint="default"/>
          <w:b w:val="0"/>
          <w:bCs w:val="0"/>
          <w:sz w:val="20"/>
          <w:szCs w:val="20"/>
          <w:lang w:val="en-US"/>
        </w:rPr>
      </w:pPr>
      <w:r>
        <w:rPr>
          <w:rFonts w:hint="default"/>
          <w:b w:val="0"/>
          <w:bCs w:val="0"/>
          <w:sz w:val="20"/>
          <w:szCs w:val="20"/>
          <w:lang w:val="en-US"/>
        </w:rPr>
        <w:t>4.1 Design and implementation of Economic Policy and Strategy</w:t>
      </w:r>
      <w:r>
        <w:rPr>
          <w:rFonts w:hint="default"/>
          <w:b w:val="0"/>
          <w:bCs w:val="0"/>
          <w:sz w:val="20"/>
          <w:szCs w:val="20"/>
          <w:lang w:val="en-US"/>
        </w:rPr>
        <w:br w:type="textWrapping"/>
      </w:r>
      <w:r>
        <w:rPr>
          <w:rFonts w:hint="default"/>
          <w:b w:val="0"/>
          <w:bCs w:val="0"/>
          <w:sz w:val="20"/>
          <w:szCs w:val="20"/>
          <w:lang w:val="en-US"/>
        </w:rPr>
        <w:t>4.2 Compilation of national and sectoral Economic Statistics</w:t>
      </w:r>
      <w:r>
        <w:rPr>
          <w:rFonts w:hint="default"/>
          <w:b w:val="0"/>
          <w:bCs w:val="0"/>
          <w:sz w:val="20"/>
          <w:szCs w:val="20"/>
          <w:lang w:val="en-US"/>
        </w:rPr>
        <w:br w:type="textWrapping"/>
      </w:r>
      <w:r>
        <w:rPr>
          <w:rFonts w:hint="default"/>
          <w:b w:val="0"/>
          <w:bCs w:val="0"/>
          <w:sz w:val="20"/>
          <w:szCs w:val="20"/>
          <w:lang w:val="en-US"/>
        </w:rPr>
        <w:t>4.3 Stewardship of Economic Data Collection and Forecasting Systems</w:t>
      </w:r>
    </w:p>
    <w:p w14:paraId="5A112DBD">
      <w:pPr>
        <w:jc w:val="center"/>
        <w:rPr>
          <w:rFonts w:hint="default"/>
          <w:b w:val="0"/>
          <w:bCs w:val="0"/>
          <w:sz w:val="20"/>
          <w:szCs w:val="20"/>
          <w:lang w:val="en-US"/>
        </w:rPr>
      </w:pPr>
    </w:p>
    <w:p w14:paraId="00C77E4F">
      <w:pPr>
        <w:jc w:val="center"/>
        <w:rPr>
          <w:rFonts w:hint="default"/>
          <w:b/>
          <w:bCs/>
          <w:sz w:val="20"/>
          <w:szCs w:val="20"/>
          <w:lang w:val="en-US"/>
        </w:rPr>
      </w:pPr>
      <w:r>
        <w:rPr>
          <w:rFonts w:hint="default"/>
          <w:b/>
          <w:bCs/>
          <w:sz w:val="20"/>
          <w:szCs w:val="20"/>
          <w:lang w:val="en-US"/>
        </w:rPr>
        <w:t>5. REGULATORY FUNCTIONS</w:t>
      </w:r>
    </w:p>
    <w:p w14:paraId="62735FE1">
      <w:pPr>
        <w:jc w:val="center"/>
        <w:rPr>
          <w:rFonts w:hint="default"/>
          <w:b w:val="0"/>
          <w:bCs w:val="0"/>
          <w:sz w:val="20"/>
          <w:szCs w:val="20"/>
          <w:lang w:val="en-US"/>
        </w:rPr>
      </w:pPr>
      <w:r>
        <w:rPr>
          <w:rFonts w:hint="default"/>
          <w:b w:val="0"/>
          <w:bCs w:val="0"/>
          <w:sz w:val="20"/>
          <w:szCs w:val="20"/>
          <w:lang w:val="en-US"/>
        </w:rPr>
        <w:t>5.1 Formulation and enforcement of Rules, Regulations, and Guidelines governing the financial system</w:t>
      </w:r>
      <w:r>
        <w:rPr>
          <w:rFonts w:hint="default"/>
          <w:b w:val="0"/>
          <w:bCs w:val="0"/>
          <w:sz w:val="20"/>
          <w:szCs w:val="20"/>
          <w:lang w:val="en-US"/>
        </w:rPr>
        <w:br w:type="textWrapping"/>
      </w:r>
      <w:r>
        <w:rPr>
          <w:rFonts w:hint="default"/>
          <w:b w:val="0"/>
          <w:bCs w:val="0"/>
          <w:sz w:val="20"/>
          <w:szCs w:val="20"/>
          <w:lang w:val="en-US"/>
        </w:rPr>
        <w:t>5.2 Operation as the Licensing Authority for financial institutions</w:t>
      </w:r>
      <w:r>
        <w:rPr>
          <w:rFonts w:hint="default"/>
          <w:b w:val="0"/>
          <w:bCs w:val="0"/>
          <w:sz w:val="20"/>
          <w:szCs w:val="20"/>
          <w:lang w:val="en-US"/>
        </w:rPr>
        <w:br w:type="textWrapping"/>
      </w:r>
      <w:r>
        <w:rPr>
          <w:rFonts w:hint="default"/>
          <w:b w:val="0"/>
          <w:bCs w:val="0"/>
          <w:sz w:val="20"/>
          <w:szCs w:val="20"/>
          <w:lang w:val="en-US"/>
        </w:rPr>
        <w:t>5.3 Compilation and analysis of Regulatory Statistics</w:t>
      </w:r>
      <w:r>
        <w:rPr>
          <w:rFonts w:hint="default"/>
          <w:b w:val="0"/>
          <w:bCs w:val="0"/>
          <w:sz w:val="20"/>
          <w:szCs w:val="20"/>
          <w:lang w:val="en-US"/>
        </w:rPr>
        <w:br w:type="textWrapping"/>
      </w:r>
      <w:r>
        <w:rPr>
          <w:rFonts w:hint="default"/>
          <w:b w:val="0"/>
          <w:bCs w:val="0"/>
          <w:sz w:val="20"/>
          <w:szCs w:val="20"/>
          <w:lang w:val="en-US"/>
        </w:rPr>
        <w:t>5.4 Management of Regulatory Data Infrastructure</w:t>
      </w:r>
    </w:p>
    <w:p w14:paraId="7837056B">
      <w:pPr>
        <w:jc w:val="center"/>
        <w:rPr>
          <w:rFonts w:hint="default"/>
          <w:b w:val="0"/>
          <w:bCs w:val="0"/>
          <w:sz w:val="20"/>
          <w:szCs w:val="20"/>
          <w:lang w:val="en-US"/>
        </w:rPr>
      </w:pPr>
    </w:p>
    <w:p w14:paraId="764FF178">
      <w:pPr>
        <w:jc w:val="center"/>
        <w:rPr>
          <w:rFonts w:hint="default"/>
          <w:b/>
          <w:bCs/>
          <w:sz w:val="20"/>
          <w:szCs w:val="20"/>
          <w:lang w:val="en-US"/>
        </w:rPr>
      </w:pPr>
      <w:r>
        <w:rPr>
          <w:rFonts w:hint="default"/>
          <w:b/>
          <w:bCs/>
          <w:sz w:val="20"/>
          <w:szCs w:val="20"/>
          <w:lang w:val="en-US"/>
        </w:rPr>
        <w:t>6. SUPERVISORY FUNCTIONS</w:t>
      </w:r>
    </w:p>
    <w:p w14:paraId="6A0B1460">
      <w:pPr>
        <w:jc w:val="center"/>
        <w:rPr>
          <w:rFonts w:hint="default"/>
          <w:b w:val="0"/>
          <w:bCs w:val="0"/>
          <w:sz w:val="20"/>
          <w:szCs w:val="20"/>
          <w:lang w:val="en-US"/>
        </w:rPr>
      </w:pPr>
      <w:r>
        <w:rPr>
          <w:rFonts w:hint="default"/>
          <w:b w:val="0"/>
          <w:bCs w:val="0"/>
          <w:sz w:val="20"/>
          <w:szCs w:val="20"/>
          <w:lang w:val="en-US"/>
        </w:rPr>
        <w:t>6.1 Establishment of Financial Supervisory Policy</w:t>
      </w:r>
      <w:r>
        <w:rPr>
          <w:rFonts w:hint="default"/>
          <w:b w:val="0"/>
          <w:bCs w:val="0"/>
          <w:sz w:val="20"/>
          <w:szCs w:val="20"/>
          <w:lang w:val="en-US"/>
        </w:rPr>
        <w:br w:type="textWrapping"/>
      </w:r>
      <w:r>
        <w:rPr>
          <w:rFonts w:hint="default"/>
          <w:b w:val="0"/>
          <w:bCs w:val="0"/>
          <w:sz w:val="20"/>
          <w:szCs w:val="20"/>
          <w:lang w:val="en-US"/>
        </w:rPr>
        <w:t>6.2 Management and oversight of regulated financial entities</w:t>
      </w:r>
      <w:r>
        <w:rPr>
          <w:rFonts w:hint="default"/>
          <w:b w:val="0"/>
          <w:bCs w:val="0"/>
          <w:sz w:val="20"/>
          <w:szCs w:val="20"/>
          <w:lang w:val="en-US"/>
        </w:rPr>
        <w:br w:type="textWrapping"/>
      </w:r>
      <w:r>
        <w:rPr>
          <w:rFonts w:hint="default"/>
          <w:b w:val="0"/>
          <w:bCs w:val="0"/>
          <w:sz w:val="20"/>
          <w:szCs w:val="20"/>
          <w:lang w:val="en-US"/>
        </w:rPr>
        <w:t>6.3 Execution of Investigations and risk assessments</w:t>
      </w:r>
      <w:r>
        <w:rPr>
          <w:rFonts w:hint="default"/>
          <w:b w:val="0"/>
          <w:bCs w:val="0"/>
          <w:sz w:val="20"/>
          <w:szCs w:val="20"/>
          <w:lang w:val="en-US"/>
        </w:rPr>
        <w:br w:type="textWrapping"/>
      </w:r>
      <w:r>
        <w:rPr>
          <w:rFonts w:hint="default"/>
          <w:b w:val="0"/>
          <w:bCs w:val="0"/>
          <w:sz w:val="20"/>
          <w:szCs w:val="20"/>
          <w:lang w:val="en-US"/>
        </w:rPr>
        <w:t>6.4 Collection of Supervisory Statistics</w:t>
      </w:r>
      <w:r>
        <w:rPr>
          <w:rFonts w:hint="default"/>
          <w:b w:val="0"/>
          <w:bCs w:val="0"/>
          <w:sz w:val="20"/>
          <w:szCs w:val="20"/>
          <w:lang w:val="en-US"/>
        </w:rPr>
        <w:br w:type="textWrapping"/>
      </w:r>
      <w:r>
        <w:rPr>
          <w:rFonts w:hint="default"/>
          <w:b w:val="0"/>
          <w:bCs w:val="0"/>
          <w:sz w:val="20"/>
          <w:szCs w:val="20"/>
          <w:lang w:val="en-US"/>
        </w:rPr>
        <w:t>6.5 Maintenance of Supervisory Data Systems</w:t>
      </w:r>
    </w:p>
    <w:p w14:paraId="30320D64">
      <w:pPr>
        <w:jc w:val="center"/>
        <w:rPr>
          <w:rFonts w:hint="default"/>
          <w:b w:val="0"/>
          <w:bCs w:val="0"/>
          <w:sz w:val="20"/>
          <w:szCs w:val="20"/>
          <w:lang w:val="en-US"/>
        </w:rPr>
      </w:pPr>
    </w:p>
    <w:p w14:paraId="11322B4B">
      <w:pPr>
        <w:jc w:val="center"/>
        <w:rPr>
          <w:rFonts w:hint="default"/>
          <w:b/>
          <w:bCs/>
          <w:sz w:val="20"/>
          <w:szCs w:val="20"/>
          <w:lang w:val="en-US"/>
        </w:rPr>
      </w:pPr>
      <w:r>
        <w:rPr>
          <w:rFonts w:hint="default"/>
          <w:b/>
          <w:bCs/>
          <w:sz w:val="20"/>
          <w:szCs w:val="20"/>
          <w:lang w:val="en-US"/>
        </w:rPr>
        <w:t>7. TREASURY FUNCTIONS</w:t>
      </w:r>
    </w:p>
    <w:p w14:paraId="7E888662">
      <w:pPr>
        <w:jc w:val="center"/>
        <w:rPr>
          <w:rFonts w:hint="default"/>
          <w:b w:val="0"/>
          <w:bCs w:val="0"/>
          <w:sz w:val="20"/>
          <w:szCs w:val="20"/>
          <w:lang w:val="en-US"/>
        </w:rPr>
      </w:pPr>
      <w:r>
        <w:rPr>
          <w:rFonts w:hint="default"/>
          <w:b w:val="0"/>
          <w:bCs w:val="0"/>
          <w:sz w:val="20"/>
          <w:szCs w:val="20"/>
          <w:lang w:val="en-US"/>
        </w:rPr>
        <w:t>7.1 Administration of Foreign Currency Exchange Operations</w:t>
      </w:r>
      <w:r>
        <w:rPr>
          <w:rFonts w:hint="default"/>
          <w:b w:val="0"/>
          <w:bCs w:val="0"/>
          <w:sz w:val="20"/>
          <w:szCs w:val="20"/>
          <w:lang w:val="en-US"/>
        </w:rPr>
        <w:br w:type="textWrapping"/>
      </w:r>
      <w:r>
        <w:rPr>
          <w:rFonts w:hint="default"/>
          <w:b w:val="0"/>
          <w:bCs w:val="0"/>
          <w:sz w:val="20"/>
          <w:szCs w:val="20"/>
          <w:lang w:val="en-US"/>
        </w:rPr>
        <w:t>7.2 Conduct of Money Market Activities for liquidity and yield</w:t>
      </w:r>
      <w:r>
        <w:rPr>
          <w:rFonts w:hint="default"/>
          <w:b w:val="0"/>
          <w:bCs w:val="0"/>
          <w:sz w:val="20"/>
          <w:szCs w:val="20"/>
          <w:lang w:val="en-US"/>
        </w:rPr>
        <w:br w:type="textWrapping"/>
      </w:r>
      <w:r>
        <w:rPr>
          <w:rFonts w:hint="default"/>
          <w:b w:val="0"/>
          <w:bCs w:val="0"/>
          <w:sz w:val="20"/>
          <w:szCs w:val="20"/>
          <w:lang w:val="en-US"/>
        </w:rPr>
        <w:t>7.3 Engagement in authorized Trading Activities</w:t>
      </w:r>
      <w:r>
        <w:rPr>
          <w:rFonts w:hint="default"/>
          <w:b w:val="0"/>
          <w:bCs w:val="0"/>
          <w:sz w:val="20"/>
          <w:szCs w:val="20"/>
          <w:lang w:val="en-US"/>
        </w:rPr>
        <w:br w:type="textWrapping"/>
      </w:r>
      <w:r>
        <w:rPr>
          <w:rFonts w:hint="default"/>
          <w:b w:val="0"/>
          <w:bCs w:val="0"/>
          <w:sz w:val="20"/>
          <w:szCs w:val="20"/>
          <w:lang w:val="en-US"/>
        </w:rPr>
        <w:t>7.4 Operation and regulation of Digital Trade Platforms including automated algorithmic environments</w:t>
      </w:r>
    </w:p>
    <w:p w14:paraId="28E6FD44">
      <w:pPr>
        <w:jc w:val="center"/>
        <w:rPr>
          <w:rFonts w:hint="default"/>
          <w:b w:val="0"/>
          <w:bCs w:val="0"/>
          <w:sz w:val="20"/>
          <w:szCs w:val="20"/>
          <w:lang w:val="en-US"/>
        </w:rPr>
      </w:pPr>
    </w:p>
    <w:p w14:paraId="4569F750">
      <w:pPr>
        <w:jc w:val="center"/>
        <w:rPr>
          <w:rFonts w:hint="default"/>
          <w:b w:val="0"/>
          <w:bCs w:val="0"/>
          <w:sz w:val="20"/>
          <w:szCs w:val="20"/>
          <w:lang w:val="en-US"/>
        </w:rPr>
      </w:pPr>
    </w:p>
    <w:p w14:paraId="40C5AF02">
      <w:pPr>
        <w:jc w:val="center"/>
        <w:rPr>
          <w:rFonts w:hint="default"/>
          <w:b w:val="0"/>
          <w:bCs w:val="0"/>
          <w:sz w:val="20"/>
          <w:szCs w:val="20"/>
          <w:lang w:val="en-US"/>
        </w:rPr>
      </w:pPr>
    </w:p>
    <w:p w14:paraId="1802E6B4">
      <w:pPr>
        <w:jc w:val="center"/>
        <w:rPr>
          <w:rFonts w:hint="default"/>
          <w:b/>
          <w:bCs/>
          <w:sz w:val="20"/>
          <w:szCs w:val="20"/>
          <w:lang w:val="en-US"/>
        </w:rPr>
      </w:pPr>
      <w:r>
        <w:rPr>
          <w:rFonts w:hint="default"/>
          <w:b/>
          <w:bCs/>
          <w:sz w:val="20"/>
          <w:szCs w:val="20"/>
          <w:lang w:val="en-US"/>
        </w:rPr>
        <w:t>8. OFFICIAL BANK OF THE STATE</w:t>
      </w:r>
    </w:p>
    <w:p w14:paraId="3F5B88E6">
      <w:pPr>
        <w:jc w:val="center"/>
        <w:rPr>
          <w:rFonts w:hint="default"/>
          <w:b w:val="0"/>
          <w:bCs w:val="0"/>
          <w:sz w:val="20"/>
          <w:szCs w:val="20"/>
          <w:lang w:val="en-US"/>
        </w:rPr>
      </w:pPr>
      <w:r>
        <w:rPr>
          <w:rFonts w:hint="default"/>
          <w:b w:val="0"/>
          <w:bCs w:val="0"/>
          <w:sz w:val="20"/>
          <w:szCs w:val="20"/>
          <w:lang w:val="en-US"/>
        </w:rPr>
        <w:t>8.1 Provision of Banking Services to the State</w:t>
      </w:r>
      <w:r>
        <w:rPr>
          <w:rFonts w:hint="default"/>
          <w:b w:val="0"/>
          <w:bCs w:val="0"/>
          <w:sz w:val="20"/>
          <w:szCs w:val="20"/>
          <w:lang w:val="en-US"/>
        </w:rPr>
        <w:br w:type="textWrapping"/>
      </w:r>
      <w:r>
        <w:rPr>
          <w:rFonts w:hint="default"/>
          <w:b w:val="0"/>
          <w:bCs w:val="0"/>
          <w:sz w:val="20"/>
          <w:szCs w:val="20"/>
          <w:lang w:val="en-US"/>
        </w:rPr>
        <w:t>8.2 Issuance and management of Government Guarantees</w:t>
      </w:r>
      <w:r>
        <w:rPr>
          <w:rFonts w:hint="default"/>
          <w:b w:val="0"/>
          <w:bCs w:val="0"/>
          <w:sz w:val="20"/>
          <w:szCs w:val="20"/>
          <w:lang w:val="en-US"/>
        </w:rPr>
        <w:br w:type="textWrapping"/>
      </w:r>
      <w:r>
        <w:rPr>
          <w:rFonts w:hint="default"/>
          <w:b w:val="0"/>
          <w:bCs w:val="0"/>
          <w:sz w:val="20"/>
          <w:szCs w:val="20"/>
          <w:lang w:val="en-US"/>
        </w:rPr>
        <w:t>8.3 Conduct of Government Auctions, including bonds and securities</w:t>
      </w:r>
      <w:r>
        <w:rPr>
          <w:rFonts w:hint="default"/>
          <w:b w:val="0"/>
          <w:bCs w:val="0"/>
          <w:sz w:val="20"/>
          <w:szCs w:val="20"/>
          <w:lang w:val="en-US"/>
        </w:rPr>
        <w:br w:type="textWrapping"/>
      </w:r>
      <w:r>
        <w:rPr>
          <w:rFonts w:hint="default"/>
          <w:b w:val="0"/>
          <w:bCs w:val="0"/>
          <w:sz w:val="20"/>
          <w:szCs w:val="20"/>
          <w:lang w:val="en-US"/>
        </w:rPr>
        <w:t>8.4 Facilitation of Correspondent Banking Activities</w:t>
      </w:r>
      <w:r>
        <w:rPr>
          <w:rFonts w:hint="default"/>
          <w:b w:val="0"/>
          <w:bCs w:val="0"/>
          <w:sz w:val="20"/>
          <w:szCs w:val="20"/>
          <w:lang w:val="en-US"/>
        </w:rPr>
        <w:br w:type="textWrapping"/>
      </w:r>
      <w:r>
        <w:rPr>
          <w:rFonts w:hint="default"/>
          <w:b w:val="0"/>
          <w:bCs w:val="0"/>
          <w:sz w:val="20"/>
          <w:szCs w:val="20"/>
          <w:lang w:val="en-US"/>
        </w:rPr>
        <w:t>8.5 Development and delivery of Banking Products and Services tailored to state needs</w:t>
      </w:r>
    </w:p>
    <w:p w14:paraId="0AF6821D">
      <w:pPr>
        <w:jc w:val="center"/>
        <w:rPr>
          <w:rFonts w:hint="default"/>
          <w:b w:val="0"/>
          <w:bCs w:val="0"/>
          <w:sz w:val="20"/>
          <w:szCs w:val="20"/>
          <w:lang w:val="en-US"/>
        </w:rPr>
      </w:pPr>
    </w:p>
    <w:p w14:paraId="67EB04A3">
      <w:pPr>
        <w:jc w:val="center"/>
        <w:rPr>
          <w:rFonts w:hint="default"/>
          <w:b/>
          <w:bCs/>
          <w:sz w:val="20"/>
          <w:szCs w:val="20"/>
          <w:lang w:val="en-US"/>
        </w:rPr>
      </w:pPr>
      <w:r>
        <w:rPr>
          <w:rFonts w:hint="default"/>
          <w:b/>
          <w:bCs/>
          <w:sz w:val="20"/>
          <w:szCs w:val="20"/>
          <w:lang w:val="en-US"/>
        </w:rPr>
        <w:t>9. LENDER OF LAST RESORT</w:t>
      </w:r>
    </w:p>
    <w:p w14:paraId="174771AE">
      <w:pPr>
        <w:jc w:val="center"/>
        <w:rPr>
          <w:rFonts w:hint="default"/>
          <w:b w:val="0"/>
          <w:bCs w:val="0"/>
          <w:sz w:val="20"/>
          <w:szCs w:val="20"/>
          <w:lang w:val="en-US"/>
        </w:rPr>
      </w:pPr>
      <w:r>
        <w:rPr>
          <w:rFonts w:hint="default"/>
          <w:b w:val="0"/>
          <w:bCs w:val="0"/>
          <w:sz w:val="20"/>
          <w:szCs w:val="20"/>
          <w:lang w:val="en-US"/>
        </w:rPr>
        <w:t>9.1 Emergency Capitalization of National Banks</w:t>
      </w:r>
      <w:r>
        <w:rPr>
          <w:rFonts w:hint="default"/>
          <w:b w:val="0"/>
          <w:bCs w:val="0"/>
          <w:sz w:val="20"/>
          <w:szCs w:val="20"/>
          <w:lang w:val="en-US"/>
        </w:rPr>
        <w:br w:type="textWrapping"/>
      </w:r>
      <w:r>
        <w:rPr>
          <w:rFonts w:hint="default"/>
          <w:b w:val="0"/>
          <w:bCs w:val="0"/>
          <w:sz w:val="20"/>
          <w:szCs w:val="20"/>
          <w:lang w:val="en-US"/>
        </w:rPr>
        <w:t>9.2 Capitalization of strategic National Funds and Facilities</w:t>
      </w:r>
      <w:r>
        <w:rPr>
          <w:rFonts w:hint="default"/>
          <w:b w:val="0"/>
          <w:bCs w:val="0"/>
          <w:sz w:val="20"/>
          <w:szCs w:val="20"/>
          <w:lang w:val="en-US"/>
        </w:rPr>
        <w:br w:type="textWrapping"/>
      </w:r>
      <w:r>
        <w:rPr>
          <w:rFonts w:hint="default"/>
          <w:b w:val="0"/>
          <w:bCs w:val="0"/>
          <w:sz w:val="20"/>
          <w:szCs w:val="20"/>
          <w:lang w:val="en-US"/>
        </w:rPr>
        <w:t>9.3 Capitalization of critical National Agencies and Corporations</w:t>
      </w:r>
      <w:r>
        <w:rPr>
          <w:rFonts w:hint="default"/>
          <w:b w:val="0"/>
          <w:bCs w:val="0"/>
          <w:sz w:val="20"/>
          <w:szCs w:val="20"/>
          <w:lang w:val="en-US"/>
        </w:rPr>
        <w:br w:type="textWrapping"/>
      </w:r>
      <w:r>
        <w:rPr>
          <w:rFonts w:hint="default"/>
          <w:b w:val="0"/>
          <w:bCs w:val="0"/>
          <w:sz w:val="20"/>
          <w:szCs w:val="20"/>
          <w:lang w:val="en-US"/>
        </w:rPr>
        <w:t>9.4 Lending Activities in times of financial distress</w:t>
      </w:r>
      <w:r>
        <w:rPr>
          <w:rFonts w:hint="default"/>
          <w:b w:val="0"/>
          <w:bCs w:val="0"/>
          <w:sz w:val="20"/>
          <w:szCs w:val="20"/>
          <w:lang w:val="en-US"/>
        </w:rPr>
        <w:br w:type="textWrapping"/>
      </w:r>
      <w:r>
        <w:rPr>
          <w:rFonts w:hint="default"/>
          <w:b w:val="0"/>
          <w:bCs w:val="0"/>
          <w:sz w:val="20"/>
          <w:szCs w:val="20"/>
          <w:lang w:val="en-US"/>
        </w:rPr>
        <w:t>9.5 Engagement in Repurchase Agreements, Securitization, and Monetization Programs</w:t>
      </w:r>
    </w:p>
    <w:p w14:paraId="42C93B50">
      <w:pPr>
        <w:jc w:val="center"/>
        <w:rPr>
          <w:rFonts w:hint="default"/>
          <w:b w:val="0"/>
          <w:bCs w:val="0"/>
          <w:sz w:val="20"/>
          <w:szCs w:val="20"/>
          <w:lang w:val="en-US"/>
        </w:rPr>
      </w:pPr>
    </w:p>
    <w:p w14:paraId="4AF1B6E2">
      <w:pPr>
        <w:jc w:val="center"/>
        <w:rPr>
          <w:rFonts w:hint="default"/>
          <w:b/>
          <w:bCs/>
          <w:sz w:val="20"/>
          <w:szCs w:val="20"/>
          <w:lang w:val="en-US"/>
        </w:rPr>
      </w:pPr>
      <w:r>
        <w:rPr>
          <w:rFonts w:hint="default"/>
          <w:b/>
          <w:bCs/>
          <w:sz w:val="20"/>
          <w:szCs w:val="20"/>
          <w:lang w:val="en-US"/>
        </w:rPr>
        <w:t>10. HEDGING FUNCTIONS</w:t>
      </w:r>
    </w:p>
    <w:p w14:paraId="24ADD7C7">
      <w:pPr>
        <w:jc w:val="center"/>
        <w:rPr>
          <w:rFonts w:hint="default"/>
          <w:b w:val="0"/>
          <w:bCs w:val="0"/>
          <w:sz w:val="20"/>
          <w:szCs w:val="20"/>
          <w:lang w:val="en-US"/>
        </w:rPr>
      </w:pPr>
      <w:r>
        <w:rPr>
          <w:rFonts w:hint="default"/>
          <w:b w:val="0"/>
          <w:bCs w:val="0"/>
          <w:sz w:val="20"/>
          <w:szCs w:val="20"/>
          <w:lang w:val="en-US"/>
        </w:rPr>
        <w:t>10.1 Administration of the National Reserve Fund</w:t>
      </w:r>
      <w:r>
        <w:rPr>
          <w:rFonts w:hint="default"/>
          <w:b w:val="0"/>
          <w:bCs w:val="0"/>
          <w:sz w:val="20"/>
          <w:szCs w:val="20"/>
          <w:lang w:val="en-US"/>
        </w:rPr>
        <w:br w:type="textWrapping"/>
      </w:r>
      <w:r>
        <w:rPr>
          <w:rFonts w:hint="default"/>
          <w:b w:val="0"/>
          <w:bCs w:val="0"/>
          <w:sz w:val="20"/>
          <w:szCs w:val="20"/>
          <w:lang w:val="en-US"/>
        </w:rPr>
        <w:t>10.2 Establishment and operation of a National Hedge Fund for macro-prudential stability</w:t>
      </w:r>
    </w:p>
    <w:p w14:paraId="61BC6A29">
      <w:pPr>
        <w:jc w:val="center"/>
        <w:rPr>
          <w:rFonts w:hint="default"/>
          <w:b w:val="0"/>
          <w:bCs w:val="0"/>
          <w:sz w:val="20"/>
          <w:szCs w:val="20"/>
          <w:lang w:val="en-US"/>
        </w:rPr>
      </w:pPr>
    </w:p>
    <w:p w14:paraId="57A65A5E">
      <w:pPr>
        <w:jc w:val="center"/>
        <w:rPr>
          <w:rFonts w:hint="default"/>
          <w:b/>
          <w:bCs/>
          <w:sz w:val="20"/>
          <w:szCs w:val="20"/>
          <w:lang w:val="en-US"/>
        </w:rPr>
      </w:pPr>
      <w:r>
        <w:rPr>
          <w:rFonts w:hint="default"/>
          <w:b/>
          <w:bCs/>
          <w:sz w:val="20"/>
          <w:szCs w:val="20"/>
          <w:lang w:val="en-US"/>
        </w:rPr>
        <w:t>11. EQUALIZATION FUNCTIONS</w:t>
      </w:r>
    </w:p>
    <w:p w14:paraId="504189B9">
      <w:pPr>
        <w:jc w:val="center"/>
        <w:rPr>
          <w:rFonts w:hint="default"/>
          <w:b w:val="0"/>
          <w:bCs w:val="0"/>
          <w:sz w:val="20"/>
          <w:szCs w:val="20"/>
          <w:lang w:val="en-US"/>
        </w:rPr>
      </w:pPr>
      <w:r>
        <w:rPr>
          <w:rFonts w:hint="default"/>
          <w:b w:val="0"/>
          <w:bCs w:val="0"/>
          <w:sz w:val="20"/>
          <w:szCs w:val="20"/>
          <w:lang w:val="en-US"/>
        </w:rPr>
        <w:t>11.1 Implementation of Economic and Fiscal Equalization Measures across regions and sectors</w:t>
      </w:r>
      <w:r>
        <w:rPr>
          <w:rFonts w:hint="default"/>
          <w:b w:val="0"/>
          <w:bCs w:val="0"/>
          <w:sz w:val="20"/>
          <w:szCs w:val="20"/>
          <w:lang w:val="en-US"/>
        </w:rPr>
        <w:br w:type="textWrapping"/>
      </w:r>
      <w:r>
        <w:rPr>
          <w:rFonts w:hint="default"/>
          <w:b w:val="0"/>
          <w:bCs w:val="0"/>
          <w:sz w:val="20"/>
          <w:szCs w:val="20"/>
          <w:lang w:val="en-US"/>
        </w:rPr>
        <w:t>11.2 Oversight of Fidelity Arrangements to ensure institutional integrity</w:t>
      </w:r>
    </w:p>
    <w:p w14:paraId="48B31489">
      <w:pPr>
        <w:jc w:val="center"/>
        <w:rPr>
          <w:rFonts w:hint="default"/>
          <w:b w:val="0"/>
          <w:bCs w:val="0"/>
          <w:sz w:val="20"/>
          <w:szCs w:val="20"/>
          <w:lang w:val="en-US"/>
        </w:rPr>
      </w:pPr>
    </w:p>
    <w:p w14:paraId="7E9C8C0A">
      <w:pPr>
        <w:jc w:val="center"/>
        <w:rPr>
          <w:rFonts w:hint="default"/>
          <w:b/>
          <w:bCs/>
          <w:sz w:val="20"/>
          <w:szCs w:val="20"/>
          <w:lang w:val="en-US"/>
        </w:rPr>
      </w:pPr>
      <w:r>
        <w:rPr>
          <w:rFonts w:hint="default"/>
          <w:b/>
          <w:bCs/>
          <w:sz w:val="20"/>
          <w:szCs w:val="20"/>
          <w:lang w:val="en-US"/>
        </w:rPr>
        <w:t>12. RESERVE REQUIREMENTS</w:t>
      </w:r>
    </w:p>
    <w:p w14:paraId="25BD7973">
      <w:pPr>
        <w:jc w:val="center"/>
        <w:rPr>
          <w:rFonts w:hint="default"/>
          <w:b w:val="0"/>
          <w:bCs w:val="0"/>
          <w:sz w:val="20"/>
          <w:szCs w:val="20"/>
          <w:lang w:val="en-US"/>
        </w:rPr>
      </w:pPr>
      <w:r>
        <w:rPr>
          <w:rFonts w:hint="default"/>
          <w:b w:val="0"/>
          <w:bCs w:val="0"/>
          <w:sz w:val="20"/>
          <w:szCs w:val="20"/>
          <w:lang w:val="en-US"/>
        </w:rPr>
        <w:t>12.1 Supervision of Cash Liquidity Requirements</w:t>
      </w:r>
      <w:r>
        <w:rPr>
          <w:rFonts w:hint="default"/>
          <w:b w:val="0"/>
          <w:bCs w:val="0"/>
          <w:sz w:val="20"/>
          <w:szCs w:val="20"/>
          <w:lang w:val="en-US"/>
        </w:rPr>
        <w:br w:type="textWrapping"/>
      </w:r>
      <w:r>
        <w:rPr>
          <w:rFonts w:hint="default"/>
          <w:b w:val="0"/>
          <w:bCs w:val="0"/>
          <w:sz w:val="20"/>
          <w:szCs w:val="20"/>
          <w:lang w:val="en-US"/>
        </w:rPr>
        <w:t>12.2 Enforcement of Fractional Reserve System Standards</w:t>
      </w:r>
    </w:p>
    <w:p w14:paraId="1B036208">
      <w:pPr>
        <w:jc w:val="center"/>
        <w:rPr>
          <w:rFonts w:hint="default"/>
          <w:b w:val="0"/>
          <w:bCs w:val="0"/>
          <w:sz w:val="20"/>
          <w:szCs w:val="20"/>
          <w:lang w:val="en-US"/>
        </w:rPr>
      </w:pPr>
    </w:p>
    <w:p w14:paraId="73B6361C">
      <w:pPr>
        <w:jc w:val="center"/>
        <w:rPr>
          <w:rFonts w:hint="default"/>
          <w:b w:val="0"/>
          <w:bCs w:val="0"/>
          <w:sz w:val="20"/>
          <w:szCs w:val="20"/>
          <w:lang w:val="en-US"/>
        </w:rPr>
      </w:pPr>
      <w:r>
        <w:rPr>
          <w:rFonts w:hint="default"/>
          <w:b/>
          <w:bCs/>
          <w:sz w:val="20"/>
          <w:szCs w:val="20"/>
          <w:lang w:val="en-US"/>
        </w:rPr>
        <w:t>13. FINANCIAL REQUIREMENTS</w:t>
      </w:r>
    </w:p>
    <w:p w14:paraId="09B9459E">
      <w:pPr>
        <w:jc w:val="center"/>
        <w:rPr>
          <w:rFonts w:hint="default"/>
          <w:b w:val="0"/>
          <w:bCs w:val="0"/>
          <w:sz w:val="20"/>
          <w:szCs w:val="20"/>
          <w:lang w:val="en-US"/>
        </w:rPr>
      </w:pPr>
      <w:r>
        <w:rPr>
          <w:rFonts w:hint="default"/>
          <w:b w:val="0"/>
          <w:bCs w:val="0"/>
          <w:sz w:val="20"/>
          <w:szCs w:val="20"/>
          <w:lang w:val="en-US"/>
        </w:rPr>
        <w:t>13.1 Enforcement of Capital Adequacy Ratios in compliance with Basel III</w:t>
      </w:r>
      <w:r>
        <w:rPr>
          <w:rFonts w:hint="default"/>
          <w:b w:val="0"/>
          <w:bCs w:val="0"/>
          <w:sz w:val="20"/>
          <w:szCs w:val="20"/>
          <w:lang w:val="en-US"/>
        </w:rPr>
        <w:br w:type="textWrapping"/>
      </w:r>
      <w:r>
        <w:rPr>
          <w:rFonts w:hint="default"/>
          <w:b w:val="0"/>
          <w:bCs w:val="0"/>
          <w:sz w:val="20"/>
          <w:szCs w:val="20"/>
          <w:lang w:val="en-US"/>
        </w:rPr>
        <w:t>13.2 Supervision of Liquidity Ratios across financial institutions</w:t>
      </w:r>
      <w:r>
        <w:rPr>
          <w:rFonts w:hint="default"/>
          <w:b w:val="0"/>
          <w:bCs w:val="0"/>
          <w:sz w:val="20"/>
          <w:szCs w:val="20"/>
          <w:lang w:val="en-US"/>
        </w:rPr>
        <w:br w:type="textWrapping"/>
      </w:r>
      <w:r>
        <w:rPr>
          <w:rFonts w:hint="default"/>
          <w:b w:val="0"/>
          <w:bCs w:val="0"/>
          <w:sz w:val="20"/>
          <w:szCs w:val="20"/>
          <w:lang w:val="en-US"/>
        </w:rPr>
        <w:t>13.3 Regulation and monitoring of Institutional Capitalization Levels</w:t>
      </w:r>
    </w:p>
    <w:p w14:paraId="62225005">
      <w:pPr>
        <w:jc w:val="center"/>
        <w:rPr>
          <w:rFonts w:hint="default"/>
          <w:b w:val="0"/>
          <w:bCs w:val="0"/>
          <w:sz w:val="20"/>
          <w:szCs w:val="20"/>
          <w:lang w:val="en-US"/>
        </w:rPr>
      </w:pPr>
    </w:p>
    <w:p w14:paraId="60998616">
      <w:pPr>
        <w:jc w:val="center"/>
        <w:rPr>
          <w:rFonts w:hint="default"/>
          <w:b/>
          <w:bCs/>
          <w:sz w:val="20"/>
          <w:szCs w:val="20"/>
          <w:lang w:val="en-US"/>
        </w:rPr>
      </w:pPr>
      <w:r>
        <w:rPr>
          <w:rFonts w:hint="default"/>
          <w:b/>
          <w:bCs/>
          <w:sz w:val="20"/>
          <w:szCs w:val="20"/>
          <w:lang w:val="en-US"/>
        </w:rPr>
        <w:t>14. INVESTING FUNCTIONS</w:t>
      </w:r>
    </w:p>
    <w:p w14:paraId="4DA8A3A1">
      <w:pPr>
        <w:jc w:val="center"/>
        <w:rPr>
          <w:rFonts w:hint="default"/>
          <w:b w:val="0"/>
          <w:bCs w:val="0"/>
          <w:sz w:val="20"/>
          <w:szCs w:val="20"/>
          <w:lang w:val="en-US"/>
        </w:rPr>
      </w:pPr>
      <w:r>
        <w:rPr>
          <w:rFonts w:hint="default"/>
          <w:b w:val="0"/>
          <w:bCs w:val="0"/>
          <w:sz w:val="20"/>
          <w:szCs w:val="20"/>
          <w:lang w:val="en-US"/>
        </w:rPr>
        <w:t>14.1 Governance of Internal (Domestic) Investment Activities</w:t>
      </w:r>
      <w:r>
        <w:rPr>
          <w:rFonts w:hint="default"/>
          <w:b w:val="0"/>
          <w:bCs w:val="0"/>
          <w:sz w:val="20"/>
          <w:szCs w:val="20"/>
          <w:lang w:val="en-US"/>
        </w:rPr>
        <w:br w:type="textWrapping"/>
      </w:r>
      <w:r>
        <w:rPr>
          <w:rFonts w:hint="default"/>
          <w:b w:val="0"/>
          <w:bCs w:val="0"/>
          <w:sz w:val="20"/>
          <w:szCs w:val="20"/>
          <w:lang w:val="en-US"/>
        </w:rPr>
        <w:t>14.2 Direction of External (International) Investment Mandates</w:t>
      </w:r>
    </w:p>
    <w:p w14:paraId="681693B5">
      <w:pPr>
        <w:jc w:val="center"/>
        <w:rPr>
          <w:rFonts w:hint="default"/>
          <w:b/>
          <w:bCs/>
          <w:sz w:val="20"/>
          <w:szCs w:val="20"/>
          <w:lang w:val="en-US"/>
        </w:rPr>
      </w:pPr>
    </w:p>
    <w:p w14:paraId="45641282">
      <w:pPr>
        <w:jc w:val="center"/>
        <w:rPr>
          <w:rFonts w:hint="default"/>
          <w:b w:val="0"/>
          <w:bCs w:val="0"/>
          <w:sz w:val="20"/>
          <w:szCs w:val="20"/>
          <w:lang w:val="en-US"/>
        </w:rPr>
      </w:pPr>
      <w:r>
        <w:rPr>
          <w:rFonts w:hint="default"/>
          <w:b/>
          <w:bCs/>
          <w:sz w:val="20"/>
          <w:szCs w:val="20"/>
          <w:lang w:val="en-US"/>
        </w:rPr>
        <w:t>15. DEVELOPMENT FUNCTIONS</w:t>
      </w:r>
    </w:p>
    <w:p w14:paraId="44C6A869">
      <w:pPr>
        <w:jc w:val="center"/>
        <w:rPr>
          <w:rFonts w:hint="default"/>
          <w:b w:val="0"/>
          <w:bCs w:val="0"/>
          <w:sz w:val="20"/>
          <w:szCs w:val="20"/>
          <w:lang w:val="en-US"/>
        </w:rPr>
      </w:pPr>
      <w:r>
        <w:rPr>
          <w:rFonts w:hint="default"/>
          <w:b w:val="0"/>
          <w:bCs w:val="0"/>
          <w:sz w:val="20"/>
          <w:szCs w:val="20"/>
          <w:lang w:val="en-US"/>
        </w:rPr>
        <w:t>15.1 Support and financing of Development Projects aligned with national priorities</w:t>
      </w:r>
      <w:r>
        <w:rPr>
          <w:rFonts w:hint="default"/>
          <w:b w:val="0"/>
          <w:bCs w:val="0"/>
          <w:sz w:val="20"/>
          <w:szCs w:val="20"/>
          <w:lang w:val="en-US"/>
        </w:rPr>
        <w:br w:type="textWrapping"/>
      </w:r>
      <w:r>
        <w:rPr>
          <w:rFonts w:hint="default"/>
          <w:b w:val="0"/>
          <w:bCs w:val="0"/>
          <w:sz w:val="20"/>
          <w:szCs w:val="20"/>
          <w:lang w:val="en-US"/>
        </w:rPr>
        <w:t>15.2 Promotion of Reconstruction and Development in post-crisis or underdeveloped regions</w:t>
      </w:r>
    </w:p>
    <w:p w14:paraId="0FB6BD62">
      <w:pPr>
        <w:jc w:val="center"/>
        <w:rPr>
          <w:rFonts w:hint="default"/>
          <w:b w:val="0"/>
          <w:bCs w:val="0"/>
          <w:sz w:val="20"/>
          <w:szCs w:val="20"/>
          <w:lang w:val="en-US"/>
        </w:rPr>
      </w:pPr>
      <w:r>
        <w:rPr>
          <w:rFonts w:hint="default"/>
          <w:b w:val="0"/>
          <w:bCs w:val="0"/>
          <w:sz w:val="20"/>
          <w:szCs w:val="20"/>
          <w:lang w:val="en-US"/>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14104B78">
      <w:pPr>
        <w:jc w:val="center"/>
        <w:rPr>
          <w:rFonts w:hint="default"/>
          <w:b/>
          <w:bCs/>
          <w:sz w:val="20"/>
          <w:szCs w:val="20"/>
          <w:lang w:val="en-US"/>
        </w:rPr>
      </w:pPr>
      <w:r>
        <w:rPr>
          <w:rFonts w:hint="default"/>
          <w:b/>
          <w:bCs/>
          <w:sz w:val="20"/>
          <w:szCs w:val="20"/>
          <w:lang w:val="en-US"/>
        </w:rPr>
        <w:t>Closing Clause</w:t>
      </w:r>
    </w:p>
    <w:p w14:paraId="393616DE">
      <w:pPr>
        <w:jc w:val="center"/>
        <w:rPr>
          <w:rFonts w:hint="default"/>
          <w:b w:val="0"/>
          <w:bCs w:val="0"/>
          <w:sz w:val="20"/>
          <w:szCs w:val="20"/>
          <w:lang w:val="en-US"/>
        </w:rPr>
      </w:pPr>
      <w:r>
        <w:rPr>
          <w:rFonts w:hint="default"/>
          <w:b w:val="0"/>
          <w:bCs w:val="0"/>
          <w:sz w:val="20"/>
          <w:szCs w:val="20"/>
          <w:lang w:val="en-US"/>
        </w:rPr>
        <w:t>This Appendix shall be binding upon the operations of the National State Bank and any of its successors. Any amendment, expansion, or repeal of these functions shall be done only by Royal Decree,  in accordance with the Parliamentary Magna Carta and the Constitution of Syno Aurelius.</w:t>
      </w:r>
    </w:p>
    <w:p w14:paraId="19EB272E">
      <w:pPr>
        <w:jc w:val="center"/>
        <w:rPr>
          <w:rFonts w:hint="default"/>
          <w:b w:val="0"/>
          <w:bCs w:val="0"/>
          <w:sz w:val="20"/>
          <w:szCs w:val="20"/>
          <w:lang w:val="en-US"/>
        </w:rPr>
      </w:pPr>
    </w:p>
    <w:p w14:paraId="065CA82E">
      <w:pPr>
        <w:jc w:val="center"/>
        <w:rPr>
          <w:rFonts w:hint="default"/>
          <w:b w:val="0"/>
          <w:bCs w:val="0"/>
          <w:sz w:val="20"/>
          <w:szCs w:val="20"/>
          <w:lang w:val="en-US"/>
        </w:rPr>
      </w:pPr>
      <w:r>
        <w:rPr>
          <w:rFonts w:hint="default"/>
          <w:b w:val="0"/>
          <w:bCs w:val="0"/>
          <w:sz w:val="20"/>
          <w:szCs w:val="20"/>
          <w:lang w:val="en-US"/>
        </w:rPr>
        <w:t>Given under Our Royal Hand and Seal this day, by</w:t>
      </w:r>
      <w:r>
        <w:rPr>
          <w:rFonts w:hint="default"/>
          <w:b w:val="0"/>
          <w:bCs w:val="0"/>
          <w:sz w:val="20"/>
          <w:szCs w:val="20"/>
          <w:lang w:val="en-US"/>
        </w:rPr>
        <w:br w:type="textWrapping"/>
      </w:r>
      <w:r>
        <w:rPr>
          <w:rFonts w:hint="default"/>
          <w:b w:val="0"/>
          <w:bCs w:val="0"/>
          <w:sz w:val="20"/>
          <w:szCs w:val="20"/>
          <w:lang w:val="en-US"/>
        </w:rPr>
        <w:t>His Majesty Karolys Ignatius Von Lotharinge</w:t>
      </w:r>
      <w:r>
        <w:rPr>
          <w:rFonts w:hint="default"/>
          <w:b w:val="0"/>
          <w:bCs w:val="0"/>
          <w:sz w:val="20"/>
          <w:szCs w:val="20"/>
          <w:lang w:val="en-US"/>
        </w:rPr>
        <w:br w:type="textWrapping"/>
      </w:r>
      <w:r>
        <w:rPr>
          <w:rFonts w:hint="default"/>
          <w:b w:val="0"/>
          <w:bCs w:val="0"/>
          <w:sz w:val="20"/>
          <w:szCs w:val="20"/>
          <w:lang w:val="en-US"/>
        </w:rPr>
        <w:t>Monarch of the Constitutional Monarchy of Syno Aurelius</w:t>
      </w:r>
    </w:p>
    <w:p w14:paraId="3D06ABFE">
      <w:pPr>
        <w:jc w:val="center"/>
        <w:rPr>
          <w:rFonts w:hint="default"/>
          <w:b w:val="0"/>
          <w:bCs w:val="0"/>
          <w:sz w:val="20"/>
          <w:szCs w:val="20"/>
          <w:lang w:val="en-US"/>
        </w:rPr>
      </w:pPr>
    </w:p>
    <w:p w14:paraId="502FE370">
      <w:pPr>
        <w:jc w:val="center"/>
        <w:rPr>
          <w:rFonts w:hint="default"/>
          <w:b w:val="0"/>
          <w:bCs w:val="0"/>
          <w:i/>
          <w:iCs/>
          <w:sz w:val="18"/>
          <w:szCs w:val="18"/>
          <w:lang w:val="en-US"/>
        </w:rPr>
      </w:pPr>
      <w:r>
        <w:rPr>
          <w:rFonts w:hint="default"/>
          <w:b w:val="0"/>
          <w:bCs w:val="0"/>
          <w:i/>
          <w:iCs/>
          <w:sz w:val="18"/>
          <w:szCs w:val="18"/>
          <w:lang w:val="en-US"/>
        </w:rPr>
        <w:drawing>
          <wp:anchor distT="0" distB="0" distL="114300" distR="114300" simplePos="0" relativeHeight="251660288" behindDoc="1" locked="0" layoutInCell="1" allowOverlap="1">
            <wp:simplePos x="0" y="0"/>
            <wp:positionH relativeFrom="column">
              <wp:posOffset>3564255</wp:posOffset>
            </wp:positionH>
            <wp:positionV relativeFrom="paragraph">
              <wp:posOffset>225425</wp:posOffset>
            </wp:positionV>
            <wp:extent cx="1405255" cy="899160"/>
            <wp:effectExtent l="0" t="0" r="4445" b="15240"/>
            <wp:wrapNone/>
            <wp:docPr id="2" name="Picture 2" descr="Monarc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narchs Signature"/>
                    <pic:cNvPicPr>
                      <a:picLocks noChangeAspect="1"/>
                    </pic:cNvPicPr>
                  </pic:nvPicPr>
                  <pic:blipFill>
                    <a:blip r:embed="rId7"/>
                    <a:stretch>
                      <a:fillRect/>
                    </a:stretch>
                  </pic:blipFill>
                  <pic:spPr>
                    <a:xfrm>
                      <a:off x="0" y="0"/>
                      <a:ext cx="1405255" cy="899160"/>
                    </a:xfrm>
                    <a:prstGeom prst="rect">
                      <a:avLst/>
                    </a:prstGeom>
                  </pic:spPr>
                </pic:pic>
              </a:graphicData>
            </a:graphic>
          </wp:anchor>
        </w:drawing>
      </w:r>
      <w:r>
        <w:rPr>
          <w:rFonts w:hint="default"/>
          <w:b w:val="0"/>
          <w:bCs w:val="0"/>
          <w:i/>
          <w:iCs/>
          <w:sz w:val="18"/>
          <w:szCs w:val="18"/>
          <w:lang w:val="en-US"/>
        </w:rPr>
        <w:t>Per Gratiam et Misericordiam Dei Patris Nostri</w:t>
      </w:r>
    </w:p>
    <w:p w14:paraId="07D249BA">
      <w:pPr>
        <w:jc w:val="center"/>
        <w:rPr>
          <w:rFonts w:hint="default"/>
          <w:b w:val="0"/>
          <w:bCs w:val="0"/>
          <w:i/>
          <w:iCs/>
          <w:sz w:val="18"/>
          <w:szCs w:val="18"/>
          <w:lang w:val="en-US"/>
        </w:rPr>
      </w:pPr>
      <w:r>
        <w:rPr>
          <w:rFonts w:hint="default"/>
          <w:b w:val="0"/>
          <w:bCs w:val="0"/>
          <w:i/>
          <w:iCs/>
          <w:sz w:val="18"/>
          <w:szCs w:val="18"/>
          <w:lang w:val="en-US"/>
        </w:rPr>
        <w:drawing>
          <wp:anchor distT="0" distB="0" distL="114300" distR="114300" simplePos="0" relativeHeight="251660288" behindDoc="1" locked="0" layoutInCell="1" allowOverlap="1">
            <wp:simplePos x="0" y="0"/>
            <wp:positionH relativeFrom="column">
              <wp:posOffset>304800</wp:posOffset>
            </wp:positionH>
            <wp:positionV relativeFrom="paragraph">
              <wp:posOffset>139700</wp:posOffset>
            </wp:positionV>
            <wp:extent cx="1006475" cy="950595"/>
            <wp:effectExtent l="0" t="0" r="0" b="1905"/>
            <wp:wrapNone/>
            <wp:docPr id="3" name="Picture 3" descr="Monarch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onarchs Seal"/>
                    <pic:cNvPicPr>
                      <a:picLocks noChangeAspect="1"/>
                    </pic:cNvPicPr>
                  </pic:nvPicPr>
                  <pic:blipFill>
                    <a:blip r:embed="rId8"/>
                    <a:stretch>
                      <a:fillRect/>
                    </a:stretch>
                  </pic:blipFill>
                  <pic:spPr>
                    <a:xfrm>
                      <a:off x="0" y="0"/>
                      <a:ext cx="1006475" cy="950595"/>
                    </a:xfrm>
                    <a:prstGeom prst="rect">
                      <a:avLst/>
                    </a:prstGeom>
                  </pic:spPr>
                </pic:pic>
              </a:graphicData>
            </a:graphic>
          </wp:anchor>
        </w:drawing>
      </w:r>
      <w:r>
        <w:rPr>
          <w:rFonts w:hint="default"/>
          <w:b w:val="0"/>
          <w:bCs w:val="0"/>
          <w:i/>
          <w:iCs/>
          <w:sz w:val="18"/>
          <w:szCs w:val="18"/>
          <w:lang w:val="en-US"/>
        </w:rPr>
        <w:t>By the Grace and Mercy of God our Father.</w:t>
      </w:r>
    </w:p>
    <w:sectPr>
      <w:headerReference r:id="rId3" w:type="default"/>
      <w:footerReference r:id="rId4" w:type="default"/>
      <w:pgSz w:w="11906" w:h="16838"/>
      <w:pgMar w:top="1440" w:right="1746" w:bottom="1440" w:left="1800" w:header="720" w:footer="720" w:gutter="0"/>
      <w:pgBorders>
        <w:top w:val="single" w:color="auto" w:sz="4" w:space="1"/>
        <w:left w:val="single" w:color="auto" w:sz="4" w:space="4"/>
        <w:bottom w:val="single" w:color="auto" w:sz="4" w:space="1"/>
        <w:right w:val="single" w:color="auto" w:sz="4" w:space="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4FE56">
    <w:pPr>
      <w:pStyle w:val="5"/>
      <w:jc w:val="center"/>
      <w:rPr>
        <w:rFonts w:hint="default"/>
        <w:b/>
        <w:bCs/>
        <w:lang w:val="en-US"/>
      </w:rPr>
    </w:pPr>
    <w:r>
      <w:rPr>
        <w:sz w:val="18"/>
      </w:rPr>
      <mc:AlternateContent>
        <mc:Choice Requires="wps">
          <w:drawing>
            <wp:anchor distT="0" distB="0" distL="114300" distR="114300" simplePos="0" relativeHeight="251660288" behindDoc="0" locked="0" layoutInCell="1" allowOverlap="1">
              <wp:simplePos x="0" y="0"/>
              <wp:positionH relativeFrom="column">
                <wp:posOffset>4670425</wp:posOffset>
              </wp:positionH>
              <wp:positionV relativeFrom="paragraph">
                <wp:posOffset>-26035</wp:posOffset>
              </wp:positionV>
              <wp:extent cx="624840" cy="464820"/>
              <wp:effectExtent l="0" t="0" r="3810" b="11430"/>
              <wp:wrapNone/>
              <wp:docPr id="11" name="Text Box 11"/>
              <wp:cNvGraphicFramePr/>
              <a:graphic xmlns:a="http://schemas.openxmlformats.org/drawingml/2006/main">
                <a:graphicData uri="http://schemas.microsoft.com/office/word/2010/wordprocessingShape">
                  <wps:wsp>
                    <wps:cNvSpPr txBox="1"/>
                    <wps:spPr>
                      <a:xfrm>
                        <a:off x="5813425" y="9790430"/>
                        <a:ext cx="624840" cy="4648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73F5305">
                          <w:pPr>
                            <w:rPr>
                              <w:rFonts w:hint="default"/>
                              <w:lang w:val="en-US"/>
                            </w:rPr>
                          </w:pPr>
                          <w:r>
                            <w:rPr>
                              <w:rFonts w:hint="default"/>
                              <w:lang w:val="en-US"/>
                            </w:rPr>
                            <w:drawing>
                              <wp:inline distT="0" distB="0" distL="114300" distR="114300">
                                <wp:extent cx="338455" cy="365760"/>
                                <wp:effectExtent l="0" t="0" r="4445" b="15240"/>
                                <wp:docPr id="12" name="Picture 12" descr="syno Aurel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yno Aurelius"/>
                                        <pic:cNvPicPr>
                                          <a:picLocks noChangeAspect="1"/>
                                        </pic:cNvPicPr>
                                      </pic:nvPicPr>
                                      <pic:blipFill>
                                        <a:blip r:embed="rId1"/>
                                        <a:stretch>
                                          <a:fillRect/>
                                        </a:stretch>
                                      </pic:blipFill>
                                      <pic:spPr>
                                        <a:xfrm>
                                          <a:off x="0" y="0"/>
                                          <a:ext cx="338455" cy="365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7.75pt;margin-top:-2.05pt;height:36.6pt;width:49.2pt;z-index:251660288;mso-width-relative:page;mso-height-relative:page;" fillcolor="#FFFFFF [3201]" filled="t" stroked="f" coordsize="21600,21600" o:gfxdata="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aQT1/WAAAACQEAAA8AAAAAAAAA&#10;AQAgAAAAIgAAAGRycy9kb3ducmV2LnhtbFBLAQIUABQAAAAIAIdO4kCBmze5TAIAAJsEAAAOAAAA&#10;AAAAAAEAIAAAACUBAABkcnMvZTJvRG9jLnhtbFBLBQYAAAAABgAGAFkBAADjBQAAAAA=&#10;">
              <v:fill on="t" focussize="0,0"/>
              <v:stroke on="f" weight="0.5pt"/>
              <v:imagedata o:title=""/>
              <o:lock v:ext="edit" aspectratio="f"/>
              <v:textbox>
                <w:txbxContent>
                  <w:p w14:paraId="373F5305">
                    <w:pPr>
                      <w:rPr>
                        <w:rFonts w:hint="default"/>
                        <w:lang w:val="en-US"/>
                      </w:rPr>
                    </w:pPr>
                    <w:r>
                      <w:rPr>
                        <w:rFonts w:hint="default"/>
                        <w:lang w:val="en-US"/>
                      </w:rPr>
                      <w:drawing>
                        <wp:inline distT="0" distB="0" distL="114300" distR="114300">
                          <wp:extent cx="338455" cy="365760"/>
                          <wp:effectExtent l="0" t="0" r="4445" b="15240"/>
                          <wp:docPr id="12" name="Picture 12" descr="syno Aurel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yno Aurelius"/>
                                  <pic:cNvPicPr>
                                    <a:picLocks noChangeAspect="1"/>
                                  </pic:cNvPicPr>
                                </pic:nvPicPr>
                                <pic:blipFill>
                                  <a:blip r:embed="rId1"/>
                                  <a:stretch>
                                    <a:fillRect/>
                                  </a:stretch>
                                </pic:blipFill>
                                <pic:spPr>
                                  <a:xfrm>
                                    <a:off x="0" y="0"/>
                                    <a:ext cx="338455" cy="365760"/>
                                  </a:xfrm>
                                  <a:prstGeom prst="rect">
                                    <a:avLst/>
                                  </a:prstGeom>
                                </pic:spPr>
                              </pic:pic>
                            </a:graphicData>
                          </a:graphic>
                        </wp:inline>
                      </w:drawing>
                    </w:r>
                  </w:p>
                </w:txbxContent>
              </v:textbox>
            </v:shape>
          </w:pict>
        </mc:Fallback>
      </mc:AlternateContent>
    </w:r>
    <w:r>
      <w:rPr>
        <w:rFonts w:hint="default"/>
        <w:b/>
        <w:bCs/>
        <w:lang w:val="en-US"/>
      </w:rPr>
      <w:t>THE CONSTITUTIONAL MONARCHY OF SYNO AURELIUS</w:t>
    </w:r>
  </w:p>
  <w:p w14:paraId="21AF7756">
    <w:pPr>
      <w:pStyle w:val="5"/>
      <w:jc w:val="center"/>
      <w:rPr>
        <w:rFonts w:hint="default"/>
        <w:b w:val="0"/>
        <w:bCs w:val="0"/>
        <w:lang w:val="en-US"/>
      </w:rPr>
    </w:pPr>
    <w:r>
      <w:rPr>
        <w:rFonts w:hint="default"/>
        <w:b w:val="0"/>
        <w:bCs w:val="0"/>
        <w:lang w:val="en-US"/>
      </w:rPr>
      <w:t>Duly Proclaimed on 13 May 2019</w:t>
    </w:r>
  </w:p>
  <w:p w14:paraId="0BC61753">
    <w:pPr>
      <w:pStyle w:val="5"/>
      <w:jc w:val="center"/>
      <w:rPr>
        <w:rFonts w:hint="default"/>
        <w:lang w:val="en-US"/>
      </w:rPr>
    </w:pPr>
    <w:r>
      <w:rPr>
        <w:rFonts w:hint="default"/>
        <w:lang w:val="en-US"/>
      </w:rPr>
      <w:t xml:space="preserve">State President: His Excellency Dr.Monja Roindefo Zafitisimivalo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09DF">
    <w:pPr>
      <w:pStyle w:val="6"/>
      <w:jc w:val="center"/>
    </w:pPr>
    <w:r>
      <w:rPr>
        <w:sz w:val="18"/>
      </w:rPr>
      <w:drawing>
        <wp:inline distT="0" distB="0" distL="114300" distR="114300">
          <wp:extent cx="626745" cy="637540"/>
          <wp:effectExtent l="0" t="0" r="1905" b="10160"/>
          <wp:docPr id="9" name="Picture 9" descr="CROW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ROWN 2"/>
                  <pic:cNvPicPr>
                    <a:picLocks noChangeAspect="1"/>
                  </pic:cNvPicPr>
                </pic:nvPicPr>
                <pic:blipFill>
                  <a:blip r:embed="rId1"/>
                  <a:stretch>
                    <a:fillRect/>
                  </a:stretch>
                </pic:blipFill>
                <pic:spPr>
                  <a:xfrm>
                    <a:off x="0" y="0"/>
                    <a:ext cx="626745" cy="6375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76BDF"/>
    <w:rsid w:val="3D7879CD"/>
    <w:rsid w:val="3F976BDF"/>
    <w:rsid w:val="5CA977FE"/>
    <w:rsid w:val="68A340F0"/>
    <w:rsid w:val="7C203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paragraph" w:styleId="7">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8">
    <w:name w:val="Normal (Web)"/>
    <w:basedOn w:val="1"/>
    <w:qFormat/>
    <w:uiPriority w:val="0"/>
    <w:rPr>
      <w:sz w:val="24"/>
      <w:szCs w:val="24"/>
    </w:rPr>
  </w:style>
  <w:style w:type="character" w:styleId="9">
    <w:name w:val="Strong"/>
    <w:basedOn w:val="3"/>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2025-04-22T07:50:00Z</dcterms:created>
  <dc:creator>MONARCH</dc:creator>
  <cp:lastModifiedBy>Luke Lottering</cp:lastModifiedBy>
  <dcterms:modified xsi:type="dcterms:W3CDTF">2025-10-03T12:55:11Z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D5FE1FF72E164AFCBCF53682D0B30E35_13</vt:lpwstr>
  </property>
</Properties>
</file>