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407C543"/>
    <w:p w14:paraId="34EA61AF">
      <w:pPr>
        <w:jc w:val="center"/>
        <w:rPr>
          <w:b/>
          <w:bCs/>
          <w:sz w:val="32"/>
          <w:szCs w:val="32"/>
        </w:rPr>
      </w:pPr>
      <w:r>
        <w:rPr>
          <w:b/>
          <w:bCs/>
          <w:sz w:val="32"/>
          <w:szCs w:val="32"/>
        </w:rPr>
        <w:t>Declaration of Commitment to Human Rights</w:t>
      </w:r>
    </w:p>
    <w:p w14:paraId="52FE515E"/>
    <w:p w14:paraId="58CF819B"/>
    <w:p w14:paraId="3B7EA2E5"/>
    <w:p w14:paraId="73A341BB">
      <w:pPr>
        <w:rPr>
          <w:b/>
          <w:bCs/>
        </w:rPr>
      </w:pPr>
      <w:r>
        <w:rPr>
          <w:b/>
          <w:bCs/>
        </w:rPr>
        <w:t>Preamble</w:t>
      </w:r>
    </w:p>
    <w:p w14:paraId="5FBAB7C5">
      <w:pPr>
        <w:jc w:val="both"/>
      </w:pPr>
      <w:r>
        <w:t>We, the Constitutional Monarchy of Syno Aurelius, guided by the enduring principles of human dignity, equality, and justice, do hereby solemnly proclaim our unwavering commitment to the protection, promotion, and advancement of human rights for all peoples within our sovereign domain and beyond.</w:t>
      </w:r>
    </w:p>
    <w:p w14:paraId="3F186B9E"/>
    <w:p w14:paraId="1EDAE6C8"/>
    <w:p w14:paraId="3608CD14">
      <w:pPr>
        <w:rPr>
          <w:b/>
          <w:bCs/>
        </w:rPr>
      </w:pPr>
      <w:r>
        <w:rPr>
          <w:b/>
          <w:bCs/>
        </w:rPr>
        <w:t>Article I: Affirmation of Fundamental Rights</w:t>
      </w:r>
    </w:p>
    <w:p w14:paraId="38544D76">
      <w:pPr>
        <w:jc w:val="both"/>
      </w:pPr>
      <w:r>
        <w:t>Syno Aurelius affirms its allegiance to the Universal Declaration of Human Rights (1948) and to all subsequent international human rights conventions and covenants. We recognize that the inherent dignity and equal and inalienable rights of all members of the human family are the foundation of freedom, justice, and peace.</w:t>
      </w:r>
    </w:p>
    <w:p w14:paraId="2C1E8634"/>
    <w:p w14:paraId="1F144FDE">
      <w:pPr>
        <w:rPr>
          <w:b/>
          <w:bCs/>
        </w:rPr>
      </w:pPr>
      <w:r>
        <w:rPr>
          <w:b/>
          <w:bCs/>
        </w:rPr>
        <w:t>Article II: Voluntary Adherence to International Human Rights Instruments</w:t>
      </w:r>
    </w:p>
    <w:p w14:paraId="2D72DC88">
      <w:r>
        <w:t>We declare our voluntary adherence to the following:</w:t>
      </w:r>
    </w:p>
    <w:p w14:paraId="79CCF108"/>
    <w:p w14:paraId="16CEA9FC">
      <w:pPr>
        <w:numPr>
          <w:ilvl w:val="0"/>
          <w:numId w:val="1"/>
        </w:numPr>
        <w:ind w:left="425" w:leftChars="0" w:hanging="425" w:firstLineChars="0"/>
      </w:pPr>
      <w:r>
        <w:t>The International Covenant on Civil and Political Rights (ICCPR, 1966)</w:t>
      </w:r>
    </w:p>
    <w:p w14:paraId="0531CA95">
      <w:pPr>
        <w:numPr>
          <w:ilvl w:val="0"/>
          <w:numId w:val="1"/>
        </w:numPr>
        <w:ind w:left="425" w:leftChars="0" w:hanging="425" w:firstLineChars="0"/>
      </w:pPr>
      <w:r>
        <w:t>The International Covenant on Economic, Social and Cultural Rights (ICESCR, 1966)</w:t>
      </w:r>
    </w:p>
    <w:p w14:paraId="1B9F7216">
      <w:pPr>
        <w:numPr>
          <w:ilvl w:val="0"/>
          <w:numId w:val="1"/>
        </w:numPr>
        <w:ind w:left="425" w:leftChars="0" w:hanging="425" w:firstLineChars="0"/>
      </w:pPr>
      <w:r>
        <w:t>The Geneva Conventions and Additional Protocols (1949)</w:t>
      </w:r>
    </w:p>
    <w:p w14:paraId="720A8F53">
      <w:pPr>
        <w:numPr>
          <w:ilvl w:val="0"/>
          <w:numId w:val="1"/>
        </w:numPr>
        <w:ind w:left="425" w:leftChars="0" w:hanging="425" w:firstLineChars="0"/>
      </w:pPr>
      <w:r>
        <w:t>The Convention Relating to the Status of Refugees (1951) and the 1967 Protocol</w:t>
      </w:r>
    </w:p>
    <w:p w14:paraId="7E41751A">
      <w:pPr>
        <w:numPr>
          <w:ilvl w:val="0"/>
          <w:numId w:val="1"/>
        </w:numPr>
        <w:ind w:left="425" w:leftChars="0" w:hanging="425" w:firstLineChars="0"/>
      </w:pPr>
      <w:r>
        <w:t>The International Convention on the Elimination of All Forms of Racial Discrimination (ICERD, 1965)</w:t>
      </w:r>
    </w:p>
    <w:p w14:paraId="059E58FA">
      <w:pPr>
        <w:numPr>
          <w:ilvl w:val="0"/>
          <w:numId w:val="1"/>
        </w:numPr>
        <w:ind w:left="425" w:leftChars="0" w:hanging="425" w:firstLineChars="0"/>
      </w:pPr>
      <w:r>
        <w:t>The Convention on the Elimination of All Forms of Discrimination Against Women (CEDAW, 1979)</w:t>
      </w:r>
    </w:p>
    <w:p w14:paraId="75D67CF2">
      <w:pPr>
        <w:numPr>
          <w:ilvl w:val="0"/>
          <w:numId w:val="1"/>
        </w:numPr>
        <w:ind w:left="425" w:leftChars="0" w:hanging="425" w:firstLineChars="0"/>
      </w:pPr>
      <w:r>
        <w:t>The Convention Against Torture and Other Cruel, Inhuman or Degrading Treatment or Punishment (CAT, 1984)</w:t>
      </w:r>
    </w:p>
    <w:p w14:paraId="1301EB86">
      <w:pPr>
        <w:numPr>
          <w:ilvl w:val="0"/>
          <w:numId w:val="1"/>
        </w:numPr>
        <w:ind w:left="425" w:leftChars="0" w:hanging="425" w:firstLineChars="0"/>
      </w:pPr>
      <w:r>
        <w:t>The Convention on the Rights of the Child (CRC, 1989)</w:t>
      </w:r>
    </w:p>
    <w:p w14:paraId="7BCB1ED8">
      <w:pPr>
        <w:numPr>
          <w:ilvl w:val="0"/>
          <w:numId w:val="1"/>
        </w:numPr>
        <w:ind w:left="425" w:leftChars="0" w:hanging="425" w:firstLineChars="0"/>
      </w:pPr>
      <w:r>
        <w:t>The Convention on the Rights of Persons with Disabilities (CRPD, 2006)</w:t>
      </w:r>
    </w:p>
    <w:p w14:paraId="774067C9"/>
    <w:p w14:paraId="07AC95DC">
      <w:pPr>
        <w:rPr>
          <w:b/>
          <w:bCs/>
        </w:rPr>
      </w:pPr>
      <w:r>
        <w:rPr>
          <w:b/>
          <w:bCs/>
        </w:rPr>
        <w:t>Article III: Implementation of Human Rights Protections</w:t>
      </w:r>
    </w:p>
    <w:p w14:paraId="694B1E3B">
      <w:r>
        <w:t>Syno Aurelius pledges to:</w:t>
      </w:r>
    </w:p>
    <w:p w14:paraId="34DA045A"/>
    <w:p w14:paraId="2613CC7B">
      <w:pPr>
        <w:numPr>
          <w:ilvl w:val="0"/>
          <w:numId w:val="2"/>
        </w:numPr>
        <w:ind w:left="420" w:leftChars="0" w:hanging="420" w:firstLineChars="0"/>
      </w:pPr>
      <w:r>
        <w:t>Ensure equality and non-discrimination for all.</w:t>
      </w:r>
    </w:p>
    <w:p w14:paraId="7075FB1E">
      <w:pPr>
        <w:numPr>
          <w:ilvl w:val="0"/>
          <w:numId w:val="2"/>
        </w:numPr>
        <w:ind w:left="420" w:leftChars="0" w:hanging="420" w:firstLineChars="0"/>
      </w:pPr>
      <w:r>
        <w:t>Guarantee freedom of speech, religion, and assembly.</w:t>
      </w:r>
    </w:p>
    <w:p w14:paraId="292EEEEE">
      <w:pPr>
        <w:numPr>
          <w:ilvl w:val="0"/>
          <w:numId w:val="2"/>
        </w:numPr>
        <w:ind w:left="420" w:leftChars="0" w:hanging="420" w:firstLineChars="0"/>
      </w:pPr>
      <w:r>
        <w:t>Protect the rights to privacy, education, healthcare, and digital access.</w:t>
      </w:r>
    </w:p>
    <w:p w14:paraId="0A33E063">
      <w:pPr>
        <w:numPr>
          <w:ilvl w:val="0"/>
          <w:numId w:val="2"/>
        </w:numPr>
        <w:ind w:left="420" w:leftChars="0" w:hanging="420" w:firstLineChars="0"/>
      </w:pPr>
      <w:r>
        <w:t>Promote economic, social, and cultural development.</w:t>
      </w:r>
    </w:p>
    <w:p w14:paraId="12B66E8E">
      <w:pPr>
        <w:numPr>
          <w:ilvl w:val="0"/>
          <w:numId w:val="2"/>
        </w:numPr>
        <w:ind w:left="420" w:leftChars="0" w:hanging="420" w:firstLineChars="0"/>
      </w:pPr>
      <w:r>
        <w:t>Safeguard vulnerable populations, including women, children, persons with disabilities, and displaced persons.</w:t>
      </w:r>
    </w:p>
    <w:p w14:paraId="4E1497C0"/>
    <w:p w14:paraId="7A5222ED">
      <w:pPr>
        <w:rPr>
          <w:b/>
          <w:bCs/>
        </w:rPr>
      </w:pPr>
      <w:r>
        <w:rPr>
          <w:b/>
          <w:bCs/>
        </w:rPr>
        <w:t>Article IV: Institutional Framework</w:t>
      </w:r>
    </w:p>
    <w:p w14:paraId="4E35C91E">
      <w:r>
        <w:t>We establish the Human Rights Council of Syno Aurelius tasked with monitoring, promoting, and reporting on the human rights situation within our jurisdiction and recommending policies for continual advancement.</w:t>
      </w:r>
    </w:p>
    <w:p w14:paraId="3AC4DE88">
      <w:pPr>
        <w:rPr>
          <w:rFonts w:hint="default"/>
          <w:lang w:val="en-US"/>
        </w:rPr>
      </w:pPr>
      <w:r>
        <w:rPr>
          <w:rFonts w:hint="default"/>
          <w:lang w:val="en-US"/>
        </w:rPr>
        <w:t xml:space="preserve">                                              </w:t>
      </w:r>
    </w:p>
    <w:p w14:paraId="308CF77B">
      <w:pPr>
        <w:rPr>
          <w:rFonts w:hint="default"/>
          <w:lang w:val="en-US"/>
        </w:rPr>
      </w:pPr>
    </w:p>
    <w:p w14:paraId="2FCC909F">
      <w:pPr>
        <w:rPr>
          <w:rFonts w:hint="default"/>
          <w:b/>
          <w:bCs/>
          <w:lang w:val="en-US"/>
        </w:rPr>
      </w:pPr>
      <w:r>
        <w:rPr>
          <w:b/>
          <w:bCs/>
        </w:rPr>
        <w:t>Article V: Global Engagement and Cooperation</w:t>
      </w:r>
      <w:r>
        <w:rPr>
          <w:rFonts w:hint="default"/>
          <w:b/>
          <w:bCs/>
          <w:lang w:val="en-US"/>
        </w:rPr>
        <w:t xml:space="preserve">                                                                             </w:t>
      </w:r>
    </w:p>
    <w:p w14:paraId="2C6898AE">
      <w:r>
        <w:rPr>
          <w:rFonts w:hint="default"/>
          <w:lang w:val="en-US"/>
        </w:rPr>
        <w:t xml:space="preserve">                                                                                                                                                                                                                                                                                                                                                                                                                                                                                                                                                                                                                                                                                                                                                                                                                                                                                                                                                                                                                                                                                                                                                                                                                                                                                                                                                                                                                                                                                                                                                                                                                                                                                                                                                                                                                                                                                                                                                                                                                                                                                                                                                                                                                                                                                                                                                                                                                                                                                                                                                                                                                                                                                                                                                                                                                                                                                                                                                                                                                                     </w:t>
      </w:r>
    </w:p>
    <w:p w14:paraId="1E168F71">
      <w:r>
        <w:t>Through this Declaration of Commitment to Human Rights, Syno Aurelius affirms its identity as a responsible, principled, and ethical member of the international community. We declare that respect for human rights is central to our sovereignty, governance, and vision for a peaceful and prosperous world.</w:t>
      </w:r>
    </w:p>
    <w:p w14:paraId="7174F945"/>
    <w:p w14:paraId="37B5366D">
      <w:pPr>
        <w:jc w:val="center"/>
        <w:rPr>
          <w:b/>
          <w:bCs/>
        </w:rPr>
      </w:pPr>
      <w:r>
        <w:rPr>
          <w:b/>
          <w:bCs/>
        </w:rPr>
        <w:t>IN ROYAL TESTAMENT AND IMPERIAL SEAL</w:t>
      </w:r>
    </w:p>
    <w:p w14:paraId="12FF8578">
      <w:pPr>
        <w:jc w:val="center"/>
      </w:pPr>
      <w:r>
        <w:t>Signed and Sealed under the hand of His Imperial Majesty,</w:t>
      </w:r>
      <w:r>
        <w:br w:type="textWrapping"/>
      </w:r>
      <w:r>
        <w:t>In the Throne Room of the Palace of Syno Aurelius,</w:t>
      </w:r>
      <w:r>
        <w:br w:type="textWrapping"/>
      </w:r>
      <w:r>
        <w:t>In full view of the digital heavens and earthly chronicles.</w:t>
      </w:r>
    </w:p>
    <w:p w14:paraId="17A18EC0">
      <w:pPr>
        <w:jc w:val="center"/>
      </w:pPr>
    </w:p>
    <w:p w14:paraId="5E7D4AC8">
      <w:pPr>
        <w:jc w:val="center"/>
        <w:rPr>
          <w:rFonts w:hint="default"/>
          <w:lang w:val="en-US"/>
        </w:rPr>
      </w:pPr>
      <w:r>
        <w:t>✠</w:t>
      </w:r>
      <w:r>
        <w:br w:type="textWrapping"/>
      </w:r>
    </w:p>
    <w:p w14:paraId="6ED05398">
      <w:pPr>
        <w:jc w:val="center"/>
        <w:rPr>
          <w:rFonts w:hint="default"/>
          <w:lang w:val="en-US"/>
        </w:rPr>
      </w:pPr>
      <w:r>
        <w:rPr>
          <w:rFonts w:hint="default"/>
          <w:lang w:val="en-US"/>
        </w:rPr>
        <w:drawing>
          <wp:inline distT="0" distB="0" distL="114300" distR="114300">
            <wp:extent cx="1067435" cy="640715"/>
            <wp:effectExtent l="0" t="0" r="18415" b="6985"/>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67435" cy="640715"/>
                    </a:xfrm>
                    <a:prstGeom prst="rect">
                      <a:avLst/>
                    </a:prstGeom>
                    <a:solidFill>
                      <a:schemeClr val="accent4">
                        <a:lumMod val="20000"/>
                        <a:lumOff val="80000"/>
                      </a:schemeClr>
                    </a:solidFill>
                    <a:ln w="28575" cmpd="sng">
                      <a:noFill/>
                      <a:prstDash val="solid"/>
                    </a:ln>
                  </pic:spPr>
                </pic:pic>
              </a:graphicData>
            </a:graphic>
          </wp:inline>
        </w:drawing>
      </w:r>
    </w:p>
    <w:p w14:paraId="49856CA4">
      <w:pPr>
        <w:jc w:val="center"/>
      </w:pPr>
      <w:r>
        <w:t xml:space="preserve">His Imperial Majesty, </w:t>
      </w:r>
    </w:p>
    <w:p w14:paraId="3BC57802">
      <w:pPr>
        <w:jc w:val="center"/>
      </w:pPr>
      <w:r>
        <w:t>The Imperator Grand</w:t>
      </w:r>
      <w:r>
        <w:rPr>
          <w:rFonts w:hint="default"/>
        </w:rPr>
        <w:t>ė</w:t>
      </w:r>
      <w:r>
        <w:t xml:space="preserve"> Dominus</w:t>
      </w:r>
      <w:r>
        <w:br w:type="textWrapping"/>
      </w:r>
      <w:r>
        <w:t>E</w:t>
      </w:r>
      <w:r>
        <w:rPr>
          <w:rFonts w:hint="default"/>
          <w:lang w:val="en-US"/>
        </w:rPr>
        <w:t>mperor</w:t>
      </w:r>
      <w:r>
        <w:t xml:space="preserve"> KAR</w:t>
      </w:r>
      <w:r>
        <w:rPr>
          <w:rFonts w:hint="default"/>
        </w:rPr>
        <w:t>φ</w:t>
      </w:r>
      <w:r>
        <w:t>LYS IGNATIUS</w:t>
      </w:r>
      <w:r>
        <w:br w:type="textWrapping"/>
      </w:r>
      <w:r>
        <w:t>of the House of Lotharinge</w:t>
      </w:r>
      <w:r>
        <w:br w:type="textWrapping"/>
      </w:r>
      <w:r>
        <w:t>Grand Master of the Holy Order of Paladin Knights</w:t>
      </w:r>
      <w:r>
        <w:br w:type="textWrapping"/>
      </w:r>
      <w:r>
        <w:t>Monarch and Eternal Sovereign of Syno Aurelius</w:t>
      </w:r>
    </w:p>
    <w:p w14:paraId="35484F94">
      <w:pPr>
        <w:jc w:val="center"/>
      </w:pPr>
    </w:p>
    <w:p w14:paraId="508069AC">
      <w:pPr>
        <w:jc w:val="center"/>
      </w:pPr>
      <w:r>
        <w:rPr>
          <w:rFonts w:hint="default"/>
          <w:lang w:val="en-US"/>
        </w:rPr>
        <w:drawing>
          <wp:anchor distT="0" distB="0" distL="114300" distR="114300" simplePos="0" relativeHeight="251659264" behindDoc="1" locked="0" layoutInCell="1" allowOverlap="1">
            <wp:simplePos x="0" y="0"/>
            <wp:positionH relativeFrom="column">
              <wp:posOffset>1919605</wp:posOffset>
            </wp:positionH>
            <wp:positionV relativeFrom="paragraph">
              <wp:posOffset>41910</wp:posOffset>
            </wp:positionV>
            <wp:extent cx="1645285" cy="1052830"/>
            <wp:effectExtent l="0" t="0" r="12065" b="13970"/>
            <wp:wrapNone/>
            <wp:docPr id="3" name="Picture 3"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narchs Signature"/>
                    <pic:cNvPicPr>
                      <a:picLocks noChangeAspect="1"/>
                    </pic:cNvPicPr>
                  </pic:nvPicPr>
                  <pic:blipFill>
                    <a:blip r:embed="rId7"/>
                    <a:stretch>
                      <a:fillRect/>
                    </a:stretch>
                  </pic:blipFill>
                  <pic:spPr>
                    <a:xfrm>
                      <a:off x="0" y="0"/>
                      <a:ext cx="1645285" cy="1052830"/>
                    </a:xfrm>
                    <a:prstGeom prst="rect">
                      <a:avLst/>
                    </a:prstGeom>
                  </pic:spPr>
                </pic:pic>
              </a:graphicData>
            </a:graphic>
          </wp:anchor>
        </w:drawing>
      </w:r>
    </w:p>
    <w:p w14:paraId="2A17264C">
      <w:pPr>
        <w:jc w:val="center"/>
        <w:rPr>
          <w:rFonts w:hint="default"/>
          <w:lang w:val="en-US"/>
        </w:rPr>
      </w:pPr>
    </w:p>
    <w:p w14:paraId="064B4715">
      <w:pPr>
        <w:jc w:val="center"/>
      </w:pPr>
      <w:r>
        <w:br w:type="textWrapping"/>
      </w:r>
    </w:p>
    <w:p w14:paraId="0C9AE7FF"/>
    <w:p w14:paraId="1C3BBAB7"/>
    <w:p w14:paraId="2B2A1411"/>
    <w:p w14:paraId="7880E46B">
      <w:pPr>
        <w:rPr>
          <w:rFonts w:hint="default"/>
          <w:lang w:val="en-US"/>
        </w:rPr>
      </w:pPr>
    </w:p>
    <w:p w14:paraId="420710B8"/>
    <w:p w14:paraId="45B28E43"/>
    <w:p w14:paraId="69CE5B0C"/>
    <w:p w14:paraId="321C9F42"/>
    <w:p w14:paraId="7A823C3C">
      <w:bookmarkStart w:id="0" w:name="_GoBack"/>
      <w:bookmarkEnd w:id="0"/>
    </w:p>
    <w:sectPr>
      <w:headerReference r:id="rId3" w:type="default"/>
      <w:footerReference r:id="rId4"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8DC24">
    <w:pPr>
      <w:pStyle w:val="4"/>
      <w:jc w:val="center"/>
      <w:rPr>
        <w:rFonts w:hint="default"/>
        <w:lang w:val="en-US"/>
      </w:rPr>
    </w:pPr>
    <w:r>
      <w:rPr>
        <w:rFonts w:hint="default"/>
        <w:lang w:val="en-US"/>
      </w:rPr>
      <w:t>THE CONSTITUIONAL MONARCHY OF SYNO AURELIUS</w:t>
    </w:r>
  </w:p>
  <w:p w14:paraId="7B9D0DFC">
    <w:pPr>
      <w:pStyle w:val="4"/>
      <w:jc w:val="center"/>
      <w:rPr>
        <w:rFonts w:hint="default"/>
        <w:lang w:val="en-US"/>
      </w:rPr>
    </w:pPr>
    <w:r>
      <w:rPr>
        <w:rFonts w:hint="default"/>
        <w:lang w:val="en-US"/>
      </w:rPr>
      <w:fldChar w:fldCharType="begin"/>
    </w:r>
    <w:r>
      <w:rPr>
        <w:rFonts w:hint="default"/>
        <w:lang w:val="en-US"/>
      </w:rPr>
      <w:instrText xml:space="preserve"> HYPERLINK "http://www.synoaurelius.org" </w:instrText>
    </w:r>
    <w:r>
      <w:rPr>
        <w:rFonts w:hint="default"/>
        <w:lang w:val="en-US"/>
      </w:rPr>
      <w:fldChar w:fldCharType="separate"/>
    </w:r>
    <w:r>
      <w:rPr>
        <w:rStyle w:val="6"/>
        <w:rFonts w:hint="default"/>
        <w:lang w:val="en-US"/>
      </w:rPr>
      <w:t>www.synoaurelius.org</w:t>
    </w:r>
    <w:r>
      <w:rPr>
        <w:rFonts w:hint="default"/>
        <w:lang w:val="en-US"/>
      </w:rPr>
      <w:fldChar w:fldCharType="end"/>
    </w:r>
  </w:p>
  <w:p w14:paraId="07A32C3A">
    <w:pPr>
      <w:pStyle w:val="4"/>
      <w:jc w:val="center"/>
      <w:rPr>
        <w:rFonts w:hint="default"/>
        <w:lang w:val="en-US"/>
      </w:rPr>
    </w:pPr>
    <w:r>
      <w:rPr>
        <w:rFonts w:hint="default"/>
        <w:lang w:val="en-US"/>
      </w:rPr>
      <w:t>State President: His Excellence Dr.Monja Roindefo Zafitisimivalo</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11C3">
    <w:pPr>
      <w:pStyle w:val="5"/>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214D3">
                          <w:pPr>
                            <w:pStyle w:val="5"/>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0BF214D3">
                    <w:pPr>
                      <w:pStyle w:val="5"/>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v:textbox>
            </v:shape>
          </w:pict>
        </mc:Fallback>
      </mc:AlternateContent>
    </w:r>
    <w:r>
      <w:rPr>
        <w:rFonts w:hint="default"/>
        <w:lang w:val="en-US"/>
      </w:rPr>
      <w:drawing>
        <wp:inline distT="0" distB="0" distL="114300" distR="114300">
          <wp:extent cx="1253490" cy="1355090"/>
          <wp:effectExtent l="0" t="0" r="3810" b="16510"/>
          <wp:docPr id="1" name="Picture 1"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no Aurelius"/>
                  <pic:cNvPicPr>
                    <a:picLocks noChangeAspect="1"/>
                  </pic:cNvPicPr>
                </pic:nvPicPr>
                <pic:blipFill>
                  <a:blip r:embed="rId1"/>
                  <a:stretch>
                    <a:fillRect/>
                  </a:stretch>
                </pic:blipFill>
                <pic:spPr>
                  <a:xfrm>
                    <a:off x="0" y="0"/>
                    <a:ext cx="1253490" cy="1355090"/>
                  </a:xfrm>
                  <a:prstGeom prst="rect">
                    <a:avLst/>
                  </a:prstGeom>
                </pic:spPr>
              </pic:pic>
            </a:graphicData>
          </a:graphic>
        </wp:inline>
      </w:drawing>
    </w:r>
  </w:p>
  <w:p w14:paraId="09028027">
    <w:pPr>
      <w:pStyle w:val="5"/>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1729105</wp:posOffset>
              </wp:positionH>
              <wp:positionV relativeFrom="paragraph">
                <wp:posOffset>2540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C58DC">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6.15pt;margin-top:0.2pt;height:144pt;width:144pt;mso-wrap-style:none;z-index:251660288;mso-width-relative:page;mso-height-relative:page;" filled="f" stroked="f" coordsize="21600,21600" o:gfxdata="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s&#10;UPmJ1wAAAAgBAAAPAAAAAAAAAAEAIAAAACIAAABkcnMvZG93bnJldi54bWxQSwECFAAUAAAACACH&#10;TuJAuPRh+CUCAABkBAAADgAAAAAAAAABACAAAAAmAQAAZHJzL2Uyb0RvYy54bWxQSwUGAAAAAAYA&#10;BgBZAQAAvQUAAAAA&#10;">
              <v:fill on="f" focussize="0,0"/>
              <v:stroke on="f" weight="0.5pt"/>
              <v:imagedata o:title=""/>
              <o:lock v:ext="edit" aspectratio="f"/>
              <v:textbox style="mso-fit-shape-to-text:t;">
                <w:txbxContent>
                  <w:p w14:paraId="093C58DC">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p>
  <w:p w14:paraId="4D5E2EE6">
    <w:pPr>
      <w:pStyle w:val="5"/>
      <w:jc w:val="center"/>
      <w:rPr>
        <w:rFonts w:hint="default"/>
        <w:lang w:val="en-US"/>
      </w:rPr>
    </w:pPr>
  </w:p>
  <w:p w14:paraId="365E9CA3">
    <w:pPr>
      <w:pStyle w:val="5"/>
      <w:jc w:val="cente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34CA5"/>
    <w:multiLevelType w:val="singleLevel"/>
    <w:tmpl w:val="EC834CA5"/>
    <w:lvl w:ilvl="0" w:tentative="0">
      <w:start w:val="1"/>
      <w:numFmt w:val="decimal"/>
      <w:lvlText w:val="%1."/>
      <w:lvlJc w:val="left"/>
      <w:pPr>
        <w:tabs>
          <w:tab w:val="left" w:pos="425"/>
        </w:tabs>
        <w:ind w:left="425" w:leftChars="0" w:hanging="425" w:firstLineChars="0"/>
      </w:pPr>
      <w:rPr>
        <w:rFonts w:hint="default"/>
      </w:rPr>
    </w:lvl>
  </w:abstractNum>
  <w:abstractNum w:abstractNumId="1">
    <w:nsid w:val="3C5AD436"/>
    <w:multiLevelType w:val="singleLevel"/>
    <w:tmpl w:val="3C5AD436"/>
    <w:lvl w:ilvl="0" w:tentative="0">
      <w:start w:val="1"/>
      <w:numFmt w:val="bullet"/>
      <w:lvlText w:val=""/>
      <w:lvlJc w:val="left"/>
      <w:pPr>
        <w:tabs>
          <w:tab w:val="left" w:pos="420"/>
        </w:tabs>
        <w:ind w:left="420" w:leftChars="0" w:hanging="420" w:firstLineChars="0"/>
      </w:pPr>
      <w:rPr>
        <w:rFonts w:hint="default" w:ascii="Wingdings" w:hAnsi="Wingdings"/>
        <w:sz w:val="1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D6B26"/>
    <w:rsid w:val="08400032"/>
    <w:rsid w:val="2D7F629B"/>
    <w:rsid w:val="4A3D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2025-04-27T09:00:00Z</dcterms:created>
  <dc:creator>MONARCH</dc:creator>
  <cp:lastModifiedBy>Luke Lottering</cp:lastModifiedBy>
  <dcterms:modified xsi:type="dcterms:W3CDTF">2025-09-21T08:54:38Z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572C2D65EE7645C4A891A00F0B4C1286_13</vt:lpwstr>
  </property>
</Properties>
</file>