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38C8796E">
      <w:pPr>
        <w:jc w:val="center"/>
        <w:rPr>
          <w:rFonts w:hint="default"/>
          <w:b/>
          <w:bCs/>
          <w:sz w:val="32"/>
          <w:szCs w:val="32"/>
          <w:lang w:val="en-US"/>
        </w:rPr>
      </w:pPr>
      <w:r>
        <w:rPr>
          <w:rFonts w:hint="default"/>
          <w:b/>
          <w:bCs/>
          <w:sz w:val="32"/>
          <w:szCs w:val="32"/>
          <w:lang w:val="en-US"/>
        </w:rPr>
        <w:drawing>
          <wp:inline distT="0" distB="0" distL="114300" distR="114300">
            <wp:extent cx="3091815" cy="2318385"/>
            <wp:effectExtent l="0" t="0" r="0" b="0"/>
            <wp:docPr id="1" name="Picture 1" descr="Syno Aurelius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yno Aurelius Coat of Arms"/>
                    <pic:cNvPicPr>
                      <a:picLocks noChangeAspect="1"/>
                    </pic:cNvPicPr>
                  </pic:nvPicPr>
                  <pic:blipFill>
                    <a:blip r:embed="rId5"/>
                    <a:stretch>
                      <a:fillRect/>
                    </a:stretch>
                  </pic:blipFill>
                  <pic:spPr>
                    <a:xfrm>
                      <a:off x="0" y="0"/>
                      <a:ext cx="3091815" cy="2318385"/>
                    </a:xfrm>
                    <a:prstGeom prst="rect">
                      <a:avLst/>
                    </a:prstGeom>
                  </pic:spPr>
                </pic:pic>
              </a:graphicData>
            </a:graphic>
          </wp:inline>
        </w:drawing>
      </w:r>
      <w:bookmarkStart w:id="0" w:name="_GoBack"/>
      <w:bookmarkEnd w:id="0"/>
    </w:p>
    <w:p w14:paraId="583CB9C8">
      <w:pPr>
        <w:jc w:val="center"/>
        <w:rPr>
          <w:rFonts w:hint="default"/>
          <w:b/>
          <w:bCs/>
          <w:sz w:val="32"/>
          <w:szCs w:val="32"/>
          <w:lang w:val="en-US"/>
        </w:rPr>
      </w:pPr>
    </w:p>
    <w:p w14:paraId="13919B9F">
      <w:pPr>
        <w:jc w:val="center"/>
        <w:rPr>
          <w:rFonts w:hint="default"/>
          <w:b/>
          <w:bCs/>
          <w:sz w:val="32"/>
          <w:szCs w:val="32"/>
          <w:lang w:val="en-US"/>
        </w:rPr>
      </w:pPr>
      <w:r>
        <w:rPr>
          <w:rFonts w:hint="default"/>
          <w:b/>
          <w:bCs/>
          <w:sz w:val="32"/>
          <w:szCs w:val="32"/>
          <w:lang w:val="en-US"/>
        </w:rPr>
        <w:t>Substantiation of the Issuance of the Syno Aurelius Currency</w:t>
      </w:r>
    </w:p>
    <w:p w14:paraId="648D9702">
      <w:pPr>
        <w:jc w:val="both"/>
        <w:rPr>
          <w:rFonts w:hint="default"/>
          <w:lang w:val="en-US"/>
        </w:rPr>
      </w:pPr>
    </w:p>
    <w:p w14:paraId="4E39C5E8">
      <w:pPr>
        <w:numPr>
          <w:ilvl w:val="0"/>
          <w:numId w:val="1"/>
        </w:numPr>
        <w:ind w:left="425" w:leftChars="0" w:hanging="425" w:firstLineChars="0"/>
        <w:jc w:val="both"/>
        <w:rPr>
          <w:rFonts w:hint="default"/>
          <w:b/>
          <w:bCs/>
          <w:lang w:val="en-US"/>
        </w:rPr>
      </w:pPr>
      <w:r>
        <w:rPr>
          <w:rFonts w:hint="default"/>
          <w:b/>
          <w:bCs/>
          <w:lang w:val="en-US"/>
        </w:rPr>
        <w:t xml:space="preserve">Introduction </w:t>
      </w:r>
    </w:p>
    <w:p w14:paraId="5A74275E">
      <w:pPr>
        <w:jc w:val="both"/>
        <w:rPr>
          <w:rFonts w:hint="default"/>
          <w:lang w:val="en-US"/>
        </w:rPr>
      </w:pPr>
      <w:r>
        <w:rPr>
          <w:rFonts w:hint="default"/>
          <w:lang w:val="en-US"/>
        </w:rPr>
        <w:t>The Constitutional Monarchy of Syno Aurelius, as a sovereign entity, exercises its inherent right to issue its own national currency, the Syno Aurelius Dollar (SAD). This document aims to substantiate the legitimacy of this currency issuance under the framework of monetary sovereignty, to explain the rationale behind pegging the Syno Aurelius Dollar to the United States Dollar (USD) on a 1:1 basis, and to detail the legal and economic grounds for using a government guarantee as collateral.</w:t>
      </w:r>
    </w:p>
    <w:p w14:paraId="2AE63F96">
      <w:pPr>
        <w:jc w:val="both"/>
        <w:rPr>
          <w:rFonts w:hint="default"/>
          <w:lang w:val="en-US"/>
        </w:rPr>
      </w:pPr>
    </w:p>
    <w:p w14:paraId="112987BB">
      <w:pPr>
        <w:numPr>
          <w:ilvl w:val="0"/>
          <w:numId w:val="1"/>
        </w:numPr>
        <w:ind w:left="425" w:leftChars="0" w:hanging="425" w:firstLineChars="0"/>
        <w:jc w:val="both"/>
        <w:rPr>
          <w:rFonts w:hint="default"/>
          <w:b/>
          <w:bCs/>
          <w:lang w:val="en-US"/>
        </w:rPr>
      </w:pPr>
      <w:r>
        <w:rPr>
          <w:rFonts w:hint="default"/>
          <w:b/>
          <w:bCs/>
          <w:lang w:val="en-US"/>
        </w:rPr>
        <w:t>Legal Basis</w:t>
      </w:r>
    </w:p>
    <w:p w14:paraId="3A8F2974">
      <w:pPr>
        <w:jc w:val="both"/>
        <w:rPr>
          <w:rFonts w:hint="default"/>
          <w:lang w:val="en-US"/>
        </w:rPr>
      </w:pPr>
      <w:r>
        <w:rPr>
          <w:rFonts w:hint="default"/>
          <w:lang w:val="en-US"/>
        </w:rPr>
        <w:t>Legal Basis for Currency Issuance in Monetary sovereignty is a fundamental aspect of national sovereignty, recognized under international law and state practice. According to Article 1 of the Montevideo Convention on the Rights and Duties of States (1933), a state possesses the capacity to govern its own financial and monetary systems, including issuing its own currency. As Syno Aurelius meets the criteria of a sovereign state—namely, a permanent population, a defined territory (albeit digital and virtual in nature), a government, and the capacity to enter into relations with other states—the issuance of the Syno Aurelius Dollar is a legitimate exercise of this sovereign right.</w:t>
      </w:r>
    </w:p>
    <w:p w14:paraId="230A4BA2">
      <w:pPr>
        <w:jc w:val="both"/>
        <w:rPr>
          <w:rFonts w:hint="default"/>
          <w:lang w:val="en-US"/>
        </w:rPr>
      </w:pPr>
    </w:p>
    <w:p w14:paraId="25B94AC7">
      <w:pPr>
        <w:jc w:val="both"/>
        <w:rPr>
          <w:rFonts w:hint="default"/>
          <w:lang w:val="en-US"/>
        </w:rPr>
      </w:pPr>
    </w:p>
    <w:p w14:paraId="2D81091E">
      <w:pPr>
        <w:jc w:val="both"/>
        <w:rPr>
          <w:rFonts w:hint="default"/>
          <w:b/>
          <w:bCs/>
          <w:lang w:val="en-US"/>
        </w:rPr>
      </w:pPr>
      <w:r>
        <w:rPr>
          <w:rFonts w:hint="default"/>
          <w:b/>
          <w:bCs/>
          <w:lang w:val="en-US"/>
        </w:rPr>
        <w:t xml:space="preserve">Establishing the Value of the Syno Aurelius Dollar </w:t>
      </w:r>
    </w:p>
    <w:p w14:paraId="314EA741">
      <w:pPr>
        <w:jc w:val="both"/>
        <w:rPr>
          <w:rFonts w:hint="default"/>
          <w:lang w:val="en-US"/>
        </w:rPr>
      </w:pPr>
      <w:r>
        <w:rPr>
          <w:rFonts w:hint="default"/>
          <w:lang w:val="en-US"/>
        </w:rPr>
        <w:t>The choice to peg the Syno Aurelius Dollar to the USD at a 1:1 exchange rate is an economic policy decision grounded in stability and predictability. Pegging a currency to a major global currency like the USD provides benefits such as reduced exchange rate volatility, increased investor confidence, and simplified trade and financial transactions. The choice to fix the exchange rate is well within the rights of a sovereign nation and is supported by precedents such as Hong Kong's peg to the USD and Denmark's peg to the Euro.</w:t>
      </w:r>
    </w:p>
    <w:p w14:paraId="03AE9254">
      <w:pPr>
        <w:jc w:val="both"/>
        <w:rPr>
          <w:rFonts w:hint="default"/>
          <w:lang w:val="en-US"/>
        </w:rPr>
      </w:pPr>
    </w:p>
    <w:p w14:paraId="173ABB63">
      <w:pPr>
        <w:jc w:val="both"/>
        <w:rPr>
          <w:rFonts w:hint="default"/>
          <w:lang w:val="en-US"/>
        </w:rPr>
      </w:pPr>
      <w:r>
        <w:rPr>
          <w:rFonts w:hint="default"/>
          <w:lang w:val="en-US"/>
        </w:rPr>
        <w:t xml:space="preserve">Modern Monetary Theory (MMT) and Sovereign Currency Issuance Modern Monetary Theory (Stephanie Kelton, "The Deficit Myth: Modern Monetary Theory and the Birth of the People’s Economy," 2020) asserts that countries with sovereign control over their currency have the unrestricted ability to issue money. MMT challenges conventional economic theories by demonstrating that monetary sovereigns, which issue their own currency, cannot involuntarily default on debt denominated in their currency. The theory emphasizes that governments are not financially constrained in the same way as households or businesses, as they can always create more currency to meet their obligations. </w:t>
      </w:r>
    </w:p>
    <w:p w14:paraId="4EF78393">
      <w:pPr>
        <w:jc w:val="both"/>
        <w:rPr>
          <w:rFonts w:hint="default"/>
          <w:lang w:val="en-US"/>
        </w:rPr>
      </w:pPr>
    </w:p>
    <w:p w14:paraId="1534FA5F">
      <w:pPr>
        <w:jc w:val="both"/>
        <w:rPr>
          <w:rFonts w:hint="default"/>
          <w:lang w:val="en-US"/>
        </w:rPr>
      </w:pPr>
      <w:r>
        <w:rPr>
          <w:rFonts w:hint="default"/>
          <w:lang w:val="en-US"/>
        </w:rPr>
        <w:t>This theoretical foundation substantiates Syno Aurelius’ right to issue its own currency, reinforcing the legitimacy of the Syno Aurelius Dollar within its sovereign monetary policy framework.</w:t>
      </w:r>
      <w:r>
        <w:rPr>
          <w:rFonts w:hint="default"/>
          <w:lang w:val="en-US"/>
        </w:rPr>
        <w:br w:type="textWrapping"/>
      </w:r>
    </w:p>
    <w:p w14:paraId="66C7356C">
      <w:pPr>
        <w:jc w:val="both"/>
        <w:rPr>
          <w:rFonts w:hint="default"/>
          <w:lang w:val="en-US"/>
        </w:rPr>
      </w:pPr>
    </w:p>
    <w:p w14:paraId="43BFCEEB">
      <w:pPr>
        <w:numPr>
          <w:ilvl w:val="0"/>
          <w:numId w:val="1"/>
        </w:numPr>
        <w:ind w:left="425" w:leftChars="0" w:hanging="425" w:firstLineChars="0"/>
        <w:jc w:val="both"/>
        <w:rPr>
          <w:rFonts w:hint="default"/>
          <w:b/>
          <w:bCs/>
          <w:lang w:val="en-US"/>
        </w:rPr>
      </w:pPr>
      <w:r>
        <w:rPr>
          <w:rFonts w:hint="default"/>
          <w:b/>
          <w:bCs/>
          <w:lang w:val="en-US"/>
        </w:rPr>
        <w:t>Sovereign Monetary</w:t>
      </w:r>
    </w:p>
    <w:p w14:paraId="05570329">
      <w:pPr>
        <w:jc w:val="both"/>
        <w:rPr>
          <w:rFonts w:hint="default"/>
          <w:lang w:val="en-US"/>
        </w:rPr>
      </w:pPr>
      <w:r>
        <w:rPr>
          <w:rFonts w:hint="default"/>
          <w:lang w:val="en-US"/>
        </w:rPr>
        <w:t>Under International Law and the Principle of Monetary Sovereignty, every nation has the right to issue and regulate its own currency. This sovereignty is affirmed by:</w:t>
      </w:r>
    </w:p>
    <w:p w14:paraId="512984DC">
      <w:pPr>
        <w:jc w:val="both"/>
        <w:rPr>
          <w:rFonts w:hint="default"/>
          <w:lang w:val="en-US"/>
        </w:rPr>
      </w:pPr>
    </w:p>
    <w:p w14:paraId="621C6DEA">
      <w:pPr>
        <w:jc w:val="both"/>
        <w:rPr>
          <w:rFonts w:hint="default"/>
          <w:lang w:val="en-US"/>
        </w:rPr>
      </w:pPr>
      <w:r>
        <w:rPr>
          <w:rFonts w:hint="default"/>
          <w:lang w:val="en-US"/>
        </w:rPr>
        <w:t>The United Nations Charter and International Monetary Fund (IMF) regulations that recognize a nation’s autonomy over its economic and monetary policies.</w:t>
      </w:r>
    </w:p>
    <w:p w14:paraId="0B1EE4D7">
      <w:pPr>
        <w:jc w:val="both"/>
        <w:rPr>
          <w:rFonts w:hint="default"/>
          <w:lang w:val="en-US"/>
        </w:rPr>
      </w:pPr>
    </w:p>
    <w:p w14:paraId="55419F0F">
      <w:pPr>
        <w:jc w:val="both"/>
        <w:rPr>
          <w:rFonts w:hint="default"/>
          <w:lang w:val="en-US"/>
        </w:rPr>
      </w:pPr>
      <w:r>
        <w:rPr>
          <w:rFonts w:hint="default"/>
          <w:lang w:val="en-US"/>
        </w:rPr>
        <w:t>The Bretton Woods System, which established the global financial order, granting nations control over their monetary frameworks.</w:t>
      </w:r>
    </w:p>
    <w:p w14:paraId="2AF58BC3">
      <w:pPr>
        <w:jc w:val="both"/>
        <w:rPr>
          <w:rFonts w:hint="default"/>
          <w:lang w:val="en-US"/>
        </w:rPr>
      </w:pPr>
    </w:p>
    <w:p w14:paraId="0E6F8022">
      <w:pPr>
        <w:jc w:val="both"/>
        <w:rPr>
          <w:rFonts w:hint="default"/>
          <w:lang w:val="en-US"/>
        </w:rPr>
      </w:pPr>
      <w:r>
        <w:rPr>
          <w:rFonts w:hint="default"/>
          <w:lang w:val="en-US"/>
        </w:rPr>
        <w:t>Customary International Law, which upholds a state's exclusive authority to issue legal tender within its jurisdiction.</w:t>
      </w:r>
    </w:p>
    <w:p w14:paraId="2CBB652B">
      <w:pPr>
        <w:jc w:val="both"/>
        <w:rPr>
          <w:rFonts w:hint="default"/>
          <w:lang w:val="en-US"/>
        </w:rPr>
      </w:pPr>
    </w:p>
    <w:p w14:paraId="0838B75C">
      <w:pPr>
        <w:jc w:val="both"/>
        <w:rPr>
          <w:rFonts w:hint="default"/>
          <w:lang w:val="en-US"/>
        </w:rPr>
      </w:pPr>
      <w:r>
        <w:rPr>
          <w:rFonts w:hint="default"/>
          <w:lang w:val="en-US"/>
        </w:rPr>
        <w:t>As such, Syno Aurelius exercises its full sovereign right to issue the Syno Aurelius Dollar through the National State Bank (NSB) and ensure its stability through a structured financial mechanism.</w:t>
      </w:r>
    </w:p>
    <w:p w14:paraId="1C95E971">
      <w:pPr>
        <w:jc w:val="both"/>
        <w:rPr>
          <w:rFonts w:hint="default"/>
          <w:lang w:val="en-US"/>
        </w:rPr>
      </w:pPr>
    </w:p>
    <w:p w14:paraId="30F87C5E">
      <w:pPr>
        <w:jc w:val="both"/>
        <w:rPr>
          <w:rFonts w:hint="default"/>
          <w:lang w:val="en-US"/>
        </w:rPr>
      </w:pPr>
    </w:p>
    <w:p w14:paraId="6DCF3E30">
      <w:pPr>
        <w:numPr>
          <w:ilvl w:val="0"/>
          <w:numId w:val="1"/>
        </w:numPr>
        <w:ind w:left="425" w:leftChars="0" w:hanging="425" w:firstLineChars="0"/>
        <w:jc w:val="both"/>
        <w:rPr>
          <w:rFonts w:hint="default"/>
          <w:b/>
          <w:bCs/>
          <w:lang w:val="en-US"/>
        </w:rPr>
      </w:pPr>
      <w:r>
        <w:rPr>
          <w:rFonts w:hint="default"/>
          <w:b/>
          <w:bCs/>
          <w:lang w:val="en-US"/>
        </w:rPr>
        <w:t>What is Currency?</w:t>
      </w:r>
    </w:p>
    <w:p w14:paraId="01D338D9">
      <w:pPr>
        <w:jc w:val="both"/>
        <w:rPr>
          <w:rFonts w:hint="default"/>
          <w:lang w:val="en-US"/>
        </w:rPr>
      </w:pPr>
      <w:r>
        <w:rPr>
          <w:rFonts w:hint="default"/>
          <w:lang w:val="en-US"/>
        </w:rPr>
        <w:t>Currency is the official medium of exchange issued by a government or central bank, serving as:</w:t>
      </w:r>
    </w:p>
    <w:p w14:paraId="5B6D4253">
      <w:pPr>
        <w:jc w:val="both"/>
        <w:rPr>
          <w:rFonts w:hint="default"/>
          <w:lang w:val="en-US"/>
        </w:rPr>
      </w:pPr>
    </w:p>
    <w:p w14:paraId="645CABE4">
      <w:pPr>
        <w:numPr>
          <w:ilvl w:val="0"/>
          <w:numId w:val="2"/>
        </w:numPr>
        <w:ind w:left="425" w:leftChars="0" w:hanging="425" w:firstLineChars="0"/>
        <w:jc w:val="both"/>
        <w:rPr>
          <w:rFonts w:hint="default"/>
          <w:lang w:val="en-US"/>
        </w:rPr>
      </w:pPr>
      <w:r>
        <w:rPr>
          <w:rFonts w:hint="default"/>
          <w:lang w:val="en-US"/>
        </w:rPr>
        <w:t>A Store of Value – Retaining purchasing power over time.</w:t>
      </w:r>
    </w:p>
    <w:p w14:paraId="3F431035">
      <w:pPr>
        <w:numPr>
          <w:ilvl w:val="0"/>
          <w:numId w:val="2"/>
        </w:numPr>
        <w:ind w:left="425" w:leftChars="0" w:hanging="425" w:firstLineChars="0"/>
        <w:jc w:val="both"/>
        <w:rPr>
          <w:rFonts w:hint="default"/>
          <w:lang w:val="en-US"/>
        </w:rPr>
      </w:pPr>
      <w:r>
        <w:rPr>
          <w:rFonts w:hint="default"/>
          <w:lang w:val="en-US"/>
        </w:rPr>
        <w:t>A Medium of Exchange – Facilitating trade and economic transactions.</w:t>
      </w:r>
    </w:p>
    <w:p w14:paraId="5FCE74CD">
      <w:pPr>
        <w:numPr>
          <w:ilvl w:val="0"/>
          <w:numId w:val="2"/>
        </w:numPr>
        <w:ind w:left="425" w:leftChars="0" w:hanging="425" w:firstLineChars="0"/>
        <w:jc w:val="both"/>
        <w:rPr>
          <w:rFonts w:hint="default"/>
          <w:lang w:val="en-US"/>
        </w:rPr>
      </w:pPr>
      <w:r>
        <w:rPr>
          <w:rFonts w:hint="default"/>
          <w:lang w:val="en-US"/>
        </w:rPr>
        <w:t>A Unit of Account – Standardizing prices and valuations of goods and services.</w:t>
      </w:r>
    </w:p>
    <w:p w14:paraId="67EC8F57">
      <w:pPr>
        <w:jc w:val="both"/>
        <w:rPr>
          <w:rFonts w:hint="default"/>
          <w:lang w:val="en-US"/>
        </w:rPr>
      </w:pPr>
    </w:p>
    <w:p w14:paraId="3234F736">
      <w:pPr>
        <w:jc w:val="both"/>
        <w:rPr>
          <w:rFonts w:hint="default"/>
          <w:lang w:val="en-US"/>
        </w:rPr>
      </w:pPr>
      <w:r>
        <w:rPr>
          <w:rFonts w:hint="default"/>
          <w:lang w:val="en-US"/>
        </w:rPr>
        <w:t>The Syno Aurelius Dollar, issued by Syno Aurelius, serves these functions while maintaining a fixed exchange rate with the USD, ensuring ease of international trade and investment.</w:t>
      </w:r>
    </w:p>
    <w:p w14:paraId="00163325">
      <w:pPr>
        <w:jc w:val="both"/>
        <w:rPr>
          <w:rFonts w:hint="default"/>
          <w:lang w:val="en-US"/>
        </w:rPr>
      </w:pPr>
    </w:p>
    <w:p w14:paraId="0B21C513">
      <w:pPr>
        <w:jc w:val="both"/>
        <w:rPr>
          <w:rFonts w:hint="default"/>
          <w:lang w:val="en-US"/>
        </w:rPr>
      </w:pPr>
    </w:p>
    <w:p w14:paraId="55DE9EB9">
      <w:pPr>
        <w:numPr>
          <w:ilvl w:val="0"/>
          <w:numId w:val="1"/>
        </w:numPr>
        <w:ind w:left="425" w:leftChars="0" w:hanging="425" w:firstLineChars="0"/>
        <w:jc w:val="both"/>
        <w:rPr>
          <w:rFonts w:hint="default"/>
          <w:b/>
          <w:bCs/>
          <w:lang w:val="en-US"/>
        </w:rPr>
      </w:pPr>
      <w:r>
        <w:rPr>
          <w:rFonts w:hint="default"/>
          <w:b/>
          <w:bCs/>
          <w:lang w:val="en-US"/>
        </w:rPr>
        <w:t>Currency Types</w:t>
      </w:r>
    </w:p>
    <w:p w14:paraId="33207851">
      <w:pPr>
        <w:jc w:val="both"/>
        <w:rPr>
          <w:rFonts w:hint="default"/>
          <w:lang w:val="en-US"/>
        </w:rPr>
      </w:pPr>
      <w:r>
        <w:rPr>
          <w:rFonts w:hint="default"/>
          <w:lang w:val="en-US"/>
        </w:rPr>
        <w:t>The issuance of currency by the National State Bank (NSB) of Syno Aurelius includes the following currency types:</w:t>
      </w:r>
    </w:p>
    <w:p w14:paraId="798BAAEE">
      <w:pPr>
        <w:jc w:val="both"/>
        <w:rPr>
          <w:rFonts w:hint="default"/>
          <w:lang w:val="en-US"/>
        </w:rPr>
      </w:pPr>
    </w:p>
    <w:p w14:paraId="34A81B3C">
      <w:pPr>
        <w:numPr>
          <w:ilvl w:val="0"/>
          <w:numId w:val="3"/>
        </w:numPr>
        <w:ind w:left="425" w:leftChars="0" w:hanging="425" w:firstLineChars="0"/>
        <w:jc w:val="both"/>
        <w:rPr>
          <w:rFonts w:hint="default"/>
          <w:lang w:val="en-US"/>
        </w:rPr>
      </w:pPr>
      <w:r>
        <w:rPr>
          <w:rFonts w:hint="default"/>
          <w:lang w:val="en-US"/>
        </w:rPr>
        <w:t>Syno Aurelius Dollar – The official fiat currency pegged to the USD.</w:t>
      </w:r>
    </w:p>
    <w:p w14:paraId="741AA4C4">
      <w:pPr>
        <w:numPr>
          <w:ilvl w:val="0"/>
          <w:numId w:val="3"/>
        </w:numPr>
        <w:ind w:left="425" w:leftChars="0" w:hanging="425" w:firstLineChars="0"/>
        <w:jc w:val="both"/>
        <w:rPr>
          <w:rFonts w:hint="default"/>
          <w:lang w:val="en-US"/>
        </w:rPr>
      </w:pPr>
      <w:r>
        <w:rPr>
          <w:rFonts w:hint="default"/>
          <w:lang w:val="en-US"/>
        </w:rPr>
        <w:t>Syno Aurelius Central Bank Digital Currency (AUREX) – A digital version of the national currency issued and regulated by the NSB.</w:t>
      </w:r>
    </w:p>
    <w:p w14:paraId="5E7633DA">
      <w:pPr>
        <w:numPr>
          <w:ilvl w:val="0"/>
          <w:numId w:val="3"/>
        </w:numPr>
        <w:ind w:left="425" w:leftChars="0" w:hanging="425" w:firstLineChars="0"/>
        <w:jc w:val="both"/>
        <w:rPr>
          <w:rFonts w:hint="default"/>
          <w:lang w:val="en-US"/>
        </w:rPr>
      </w:pPr>
      <w:r>
        <w:rPr>
          <w:rFonts w:hint="default"/>
          <w:lang w:val="en-US"/>
        </w:rPr>
        <w:t>Syno Aurelius Sovereign Stable Coin – A  stable coin backed by national reserves.</w:t>
      </w:r>
    </w:p>
    <w:p w14:paraId="6647BD52">
      <w:pPr>
        <w:jc w:val="both"/>
        <w:rPr>
          <w:rFonts w:hint="default"/>
          <w:lang w:val="en-US"/>
        </w:rPr>
      </w:pPr>
    </w:p>
    <w:p w14:paraId="5183CA8D">
      <w:pPr>
        <w:jc w:val="both"/>
        <w:rPr>
          <w:rFonts w:hint="default"/>
          <w:lang w:val="en-US"/>
        </w:rPr>
      </w:pPr>
    </w:p>
    <w:p w14:paraId="10DEC4A7">
      <w:pPr>
        <w:jc w:val="both"/>
        <w:rPr>
          <w:rFonts w:hint="default"/>
          <w:lang w:val="en-US"/>
        </w:rPr>
      </w:pPr>
    </w:p>
    <w:p w14:paraId="5FC8E431">
      <w:pPr>
        <w:numPr>
          <w:ilvl w:val="0"/>
          <w:numId w:val="1"/>
        </w:numPr>
        <w:ind w:left="425" w:leftChars="0" w:hanging="425" w:firstLineChars="0"/>
        <w:jc w:val="both"/>
        <w:rPr>
          <w:rFonts w:hint="default"/>
          <w:b/>
          <w:bCs/>
          <w:lang w:val="en-US"/>
        </w:rPr>
      </w:pPr>
      <w:r>
        <w:rPr>
          <w:rFonts w:hint="default"/>
          <w:b/>
          <w:bCs/>
          <w:lang w:val="en-US"/>
        </w:rPr>
        <w:t>Currency Issue Process</w:t>
      </w:r>
    </w:p>
    <w:p w14:paraId="209AE1BF">
      <w:pPr>
        <w:jc w:val="both"/>
        <w:rPr>
          <w:rFonts w:hint="default"/>
          <w:lang w:val="en-US"/>
        </w:rPr>
      </w:pPr>
    </w:p>
    <w:p w14:paraId="7BFB7ED7">
      <w:pPr>
        <w:jc w:val="both"/>
        <w:rPr>
          <w:rFonts w:hint="default"/>
          <w:lang w:val="en-US"/>
        </w:rPr>
      </w:pPr>
      <w:r>
        <w:rPr>
          <w:rFonts w:hint="default"/>
          <w:lang w:val="en-US"/>
        </w:rPr>
        <w:t>Step 1: Government</w:t>
      </w:r>
    </w:p>
    <w:p w14:paraId="580520E3">
      <w:pPr>
        <w:jc w:val="both"/>
        <w:rPr>
          <w:rFonts w:hint="default"/>
          <w:lang w:val="en-US"/>
        </w:rPr>
      </w:pPr>
    </w:p>
    <w:p w14:paraId="67FEF332">
      <w:pPr>
        <w:jc w:val="both"/>
        <w:rPr>
          <w:rFonts w:hint="default"/>
          <w:lang w:val="en-US"/>
        </w:rPr>
      </w:pPr>
      <w:r>
        <w:rPr>
          <w:rFonts w:hint="default"/>
          <w:lang w:val="en-US"/>
        </w:rPr>
        <w:t xml:space="preserve">Backing of the Currency by Government Guarantee </w:t>
      </w:r>
    </w:p>
    <w:p w14:paraId="7F606A11">
      <w:pPr>
        <w:jc w:val="both"/>
        <w:rPr>
          <w:rFonts w:hint="default"/>
          <w:lang w:val="en-US"/>
        </w:rPr>
      </w:pPr>
      <w:r>
        <w:rPr>
          <w:rFonts w:hint="default"/>
          <w:lang w:val="en-US"/>
        </w:rPr>
        <w:t>The Syno Aurelius Government has provided a formal guarantee as collateral for the issued currency. A government guarantee as a financial instrument is a common practice where the government pledges its assets or resources to back the currency's value. This practice aligns with the concept of Modern Monetary Theory (MMT), which supports the idea that sovereign governments with control over their currency can issue money backed by their economic strength and regulatory framework. The issuance of the Syno Aurelius Dollar against a government guarantee ensures the currency is supported by tangible governmental commitment, enhancing trust and acceptance.</w:t>
      </w:r>
    </w:p>
    <w:p w14:paraId="7DD45D6E">
      <w:pPr>
        <w:jc w:val="both"/>
        <w:rPr>
          <w:rFonts w:hint="default"/>
          <w:lang w:val="en-US"/>
        </w:rPr>
      </w:pPr>
    </w:p>
    <w:p w14:paraId="6460411A">
      <w:pPr>
        <w:jc w:val="both"/>
        <w:rPr>
          <w:rFonts w:hint="default"/>
          <w:lang w:val="en-US"/>
        </w:rPr>
      </w:pPr>
      <w:r>
        <w:rPr>
          <w:rFonts w:hint="default"/>
          <w:lang w:val="en-US"/>
        </w:rPr>
        <w:br w:type="textWrapping"/>
      </w:r>
      <w:r>
        <w:rPr>
          <w:rFonts w:hint="default"/>
          <w:lang w:val="en-US"/>
        </w:rPr>
        <w:br w:type="textWrapping"/>
      </w:r>
      <w:r>
        <w:rPr>
          <w:rFonts w:hint="default"/>
          <w:lang w:val="en-US"/>
        </w:rPr>
        <w:br w:type="textWrapping"/>
      </w:r>
      <w:r>
        <w:rPr>
          <w:rFonts w:hint="default"/>
          <w:lang w:val="en-US"/>
        </w:rPr>
        <w:br w:type="textWrapping"/>
      </w:r>
      <w:r>
        <w:rPr>
          <w:rFonts w:hint="default"/>
          <w:lang w:val="en-US"/>
        </w:rPr>
        <w:br w:type="textWrapping"/>
      </w:r>
    </w:p>
    <w:p w14:paraId="4F59F10A">
      <w:pPr>
        <w:jc w:val="both"/>
        <w:rPr>
          <w:rFonts w:hint="default"/>
          <w:lang w:val="en-US"/>
        </w:rPr>
      </w:pPr>
      <w:r>
        <w:rPr>
          <w:rFonts w:hint="default"/>
          <w:lang w:val="en-US"/>
        </w:rPr>
        <w:t>The Government of Syno Aurelius formally decides to issue the national currencies, ensuring:</w:t>
      </w:r>
    </w:p>
    <w:p w14:paraId="0FFB9CCE">
      <w:pPr>
        <w:jc w:val="both"/>
        <w:rPr>
          <w:rFonts w:hint="default"/>
          <w:lang w:val="en-US"/>
        </w:rPr>
      </w:pPr>
    </w:p>
    <w:p w14:paraId="1984ADD8">
      <w:pPr>
        <w:numPr>
          <w:ilvl w:val="0"/>
          <w:numId w:val="4"/>
        </w:numPr>
        <w:ind w:left="425" w:leftChars="0" w:hanging="425" w:firstLineChars="0"/>
        <w:jc w:val="both"/>
        <w:rPr>
          <w:rFonts w:hint="default"/>
          <w:lang w:val="en-US"/>
        </w:rPr>
      </w:pPr>
      <w:r>
        <w:rPr>
          <w:rFonts w:hint="default"/>
          <w:lang w:val="en-US"/>
        </w:rPr>
        <w:t>Stable value and exchange rate mechanisms to prevent volatility.</w:t>
      </w:r>
    </w:p>
    <w:p w14:paraId="470ECEFC">
      <w:pPr>
        <w:numPr>
          <w:ilvl w:val="0"/>
          <w:numId w:val="4"/>
        </w:numPr>
        <w:ind w:left="425" w:leftChars="0" w:hanging="425" w:firstLineChars="0"/>
        <w:jc w:val="both"/>
        <w:rPr>
          <w:rFonts w:hint="default"/>
          <w:lang w:val="en-US"/>
        </w:rPr>
      </w:pPr>
      <w:r>
        <w:rPr>
          <w:rFonts w:hint="default"/>
          <w:lang w:val="en-US"/>
        </w:rPr>
        <w:t>Strategic reserve management to back digital and fiat currency issuance.</w:t>
      </w:r>
    </w:p>
    <w:p w14:paraId="700D0C31">
      <w:pPr>
        <w:numPr>
          <w:ilvl w:val="0"/>
          <w:numId w:val="4"/>
        </w:numPr>
        <w:ind w:left="425" w:leftChars="0" w:hanging="425" w:firstLineChars="0"/>
        <w:jc w:val="both"/>
        <w:rPr>
          <w:rFonts w:hint="default"/>
          <w:lang w:val="en-US"/>
        </w:rPr>
      </w:pPr>
      <w:r>
        <w:rPr>
          <w:rFonts w:hint="default"/>
          <w:lang w:val="en-US"/>
        </w:rPr>
        <w:t>Monetary policy controls to regulate liquidity and circulation.</w:t>
      </w:r>
    </w:p>
    <w:p w14:paraId="5B9A792C">
      <w:pPr>
        <w:jc w:val="both"/>
        <w:rPr>
          <w:rFonts w:hint="default"/>
          <w:lang w:val="en-US"/>
        </w:rPr>
      </w:pPr>
    </w:p>
    <w:p w14:paraId="5FB5E44F">
      <w:pPr>
        <w:jc w:val="both"/>
        <w:rPr>
          <w:rFonts w:hint="default"/>
          <w:lang w:val="en-US"/>
        </w:rPr>
      </w:pPr>
    </w:p>
    <w:p w14:paraId="10C328EA">
      <w:pPr>
        <w:jc w:val="both"/>
        <w:rPr>
          <w:rFonts w:hint="default"/>
          <w:lang w:val="en-US"/>
        </w:rPr>
      </w:pPr>
    </w:p>
    <w:p w14:paraId="7806E6BF">
      <w:pPr>
        <w:jc w:val="both"/>
        <w:rPr>
          <w:rFonts w:hint="default"/>
          <w:lang w:val="en-US"/>
        </w:rPr>
      </w:pPr>
    </w:p>
    <w:p w14:paraId="701513AC">
      <w:pPr>
        <w:jc w:val="both"/>
        <w:rPr>
          <w:rFonts w:hint="default"/>
          <w:lang w:val="en-US"/>
        </w:rPr>
      </w:pPr>
    </w:p>
    <w:p w14:paraId="025B4D77">
      <w:pPr>
        <w:jc w:val="both"/>
        <w:rPr>
          <w:rFonts w:hint="default"/>
          <w:lang w:val="en-US"/>
        </w:rPr>
      </w:pPr>
    </w:p>
    <w:p w14:paraId="64549D14">
      <w:pPr>
        <w:jc w:val="both"/>
        <w:rPr>
          <w:rFonts w:hint="default"/>
          <w:lang w:val="en-US"/>
        </w:rPr>
      </w:pPr>
      <w:r>
        <w:rPr>
          <w:rFonts w:hint="default"/>
          <w:lang w:val="en-US"/>
        </w:rPr>
        <w:t>Step 2: Establishment of the Syno Aurelius Currency Reserve Trust (SACRT)</w:t>
      </w:r>
    </w:p>
    <w:p w14:paraId="612607CE">
      <w:pPr>
        <w:jc w:val="both"/>
        <w:rPr>
          <w:rFonts w:hint="default"/>
          <w:lang w:val="en-US"/>
        </w:rPr>
      </w:pPr>
    </w:p>
    <w:p w14:paraId="65D309FF">
      <w:pPr>
        <w:jc w:val="both"/>
        <w:rPr>
          <w:rFonts w:hint="default"/>
          <w:lang w:val="en-US"/>
        </w:rPr>
      </w:pPr>
      <w:r>
        <w:rPr>
          <w:rFonts w:hint="default"/>
          <w:lang w:val="en-US"/>
        </w:rPr>
        <w:t>The SACRT is designated as the custodian of the currency, responsible for:</w:t>
      </w:r>
    </w:p>
    <w:p w14:paraId="2C2D38D9">
      <w:pPr>
        <w:jc w:val="both"/>
        <w:rPr>
          <w:rFonts w:hint="default"/>
          <w:lang w:val="en-US"/>
        </w:rPr>
      </w:pPr>
    </w:p>
    <w:p w14:paraId="6E52DBEE">
      <w:pPr>
        <w:numPr>
          <w:ilvl w:val="0"/>
          <w:numId w:val="5"/>
        </w:numPr>
        <w:ind w:left="425" w:leftChars="0" w:hanging="425" w:firstLineChars="0"/>
        <w:jc w:val="both"/>
        <w:rPr>
          <w:rFonts w:hint="default"/>
          <w:lang w:val="en-US"/>
        </w:rPr>
      </w:pPr>
      <w:r>
        <w:rPr>
          <w:rFonts w:hint="default"/>
          <w:lang w:val="en-US"/>
        </w:rPr>
        <w:t>Hedging Syno Aurelius currencies against external economic fluctuations.</w:t>
      </w:r>
    </w:p>
    <w:p w14:paraId="64EE00A2">
      <w:pPr>
        <w:numPr>
          <w:ilvl w:val="0"/>
          <w:numId w:val="5"/>
        </w:numPr>
        <w:ind w:left="425" w:leftChars="0" w:hanging="425" w:firstLineChars="0"/>
        <w:jc w:val="both"/>
        <w:rPr>
          <w:rFonts w:hint="default"/>
          <w:lang w:val="en-US"/>
        </w:rPr>
      </w:pPr>
      <w:r>
        <w:rPr>
          <w:rFonts w:hint="default"/>
          <w:lang w:val="en-US"/>
        </w:rPr>
        <w:t>Underwriting the currency to prevent depreciation or financial instability.</w:t>
      </w:r>
    </w:p>
    <w:p w14:paraId="73008F85">
      <w:pPr>
        <w:numPr>
          <w:ilvl w:val="0"/>
          <w:numId w:val="5"/>
        </w:numPr>
        <w:ind w:left="425" w:leftChars="0" w:hanging="425" w:firstLineChars="0"/>
        <w:jc w:val="both"/>
        <w:rPr>
          <w:rFonts w:hint="default"/>
          <w:lang w:val="en-US"/>
        </w:rPr>
      </w:pPr>
      <w:r>
        <w:rPr>
          <w:rFonts w:hint="default"/>
          <w:lang w:val="en-US"/>
        </w:rPr>
        <w:t>Managing the national reserves to support liquidity and trust in the currency.</w:t>
      </w:r>
    </w:p>
    <w:p w14:paraId="394E43C6">
      <w:pPr>
        <w:jc w:val="both"/>
        <w:rPr>
          <w:rFonts w:hint="default"/>
          <w:lang w:val="en-US"/>
        </w:rPr>
      </w:pPr>
    </w:p>
    <w:p w14:paraId="5B7DF701">
      <w:pPr>
        <w:jc w:val="both"/>
        <w:rPr>
          <w:rFonts w:hint="default"/>
          <w:lang w:val="en-US"/>
        </w:rPr>
      </w:pPr>
    </w:p>
    <w:p w14:paraId="4C7988BA">
      <w:pPr>
        <w:jc w:val="both"/>
        <w:rPr>
          <w:rFonts w:hint="default"/>
          <w:lang w:val="en-US"/>
        </w:rPr>
      </w:pPr>
      <w:r>
        <w:rPr>
          <w:rFonts w:hint="default"/>
          <w:lang w:val="en-US"/>
        </w:rPr>
        <w:t>Step 3: Currency Directives &amp; Implementation</w:t>
      </w:r>
    </w:p>
    <w:p w14:paraId="72A5B34D">
      <w:pPr>
        <w:jc w:val="both"/>
        <w:rPr>
          <w:rFonts w:hint="default"/>
          <w:lang w:val="en-US"/>
        </w:rPr>
      </w:pPr>
    </w:p>
    <w:p w14:paraId="57EB6817">
      <w:pPr>
        <w:jc w:val="both"/>
        <w:rPr>
          <w:rFonts w:hint="default"/>
          <w:lang w:val="en-US"/>
        </w:rPr>
      </w:pPr>
      <w:r>
        <w:rPr>
          <w:rFonts w:hint="default"/>
          <w:lang w:val="en-US"/>
        </w:rPr>
        <w:t>The Syno Aurelius Currency &amp; Mint Corporation  issues the Syno Aurelius Dollar and its digital variants to the Central Bank;</w:t>
      </w:r>
    </w:p>
    <w:p w14:paraId="63740D4F">
      <w:pPr>
        <w:jc w:val="both"/>
        <w:rPr>
          <w:rFonts w:hint="default"/>
          <w:lang w:val="en-US"/>
        </w:rPr>
      </w:pPr>
    </w:p>
    <w:p w14:paraId="12F0D433">
      <w:pPr>
        <w:jc w:val="both"/>
        <w:rPr>
          <w:rFonts w:hint="default"/>
          <w:lang w:val="en-US"/>
        </w:rPr>
      </w:pPr>
      <w:r>
        <w:rPr>
          <w:rFonts w:hint="default"/>
          <w:lang w:val="en-US"/>
        </w:rPr>
        <w:t>The SACRT provides security through reserve-backed mechanisms such as foreign exchange holdings, commodity reserves, and digital assets;</w:t>
      </w:r>
    </w:p>
    <w:p w14:paraId="3CFC8D75">
      <w:pPr>
        <w:jc w:val="both"/>
        <w:rPr>
          <w:rFonts w:hint="default"/>
          <w:lang w:val="en-US"/>
        </w:rPr>
      </w:pPr>
    </w:p>
    <w:p w14:paraId="5295CC93">
      <w:pPr>
        <w:jc w:val="both"/>
        <w:rPr>
          <w:rFonts w:hint="default"/>
          <w:lang w:val="en-US"/>
        </w:rPr>
      </w:pPr>
      <w:r>
        <w:rPr>
          <w:rFonts w:hint="default"/>
          <w:lang w:val="en-US"/>
        </w:rPr>
        <w:t>Strict monetary policy and regulatory frameworks ensure controlled issuance to prevent inflation or excess supply;</w:t>
      </w:r>
    </w:p>
    <w:p w14:paraId="12F8AF4E">
      <w:pPr>
        <w:jc w:val="both"/>
        <w:rPr>
          <w:rFonts w:hint="default"/>
          <w:lang w:val="en-US"/>
        </w:rPr>
      </w:pPr>
    </w:p>
    <w:p w14:paraId="376F3BFA">
      <w:pPr>
        <w:jc w:val="both"/>
        <w:rPr>
          <w:rFonts w:hint="default"/>
          <w:lang w:val="en-US"/>
        </w:rPr>
      </w:pPr>
    </w:p>
    <w:p w14:paraId="7B5E8485">
      <w:pPr>
        <w:numPr>
          <w:ilvl w:val="0"/>
          <w:numId w:val="1"/>
        </w:numPr>
        <w:ind w:left="425" w:leftChars="0" w:hanging="425" w:firstLineChars="0"/>
        <w:jc w:val="both"/>
        <w:rPr>
          <w:rFonts w:hint="default"/>
          <w:b/>
          <w:bCs/>
          <w:lang w:val="en-US"/>
        </w:rPr>
      </w:pPr>
      <w:r>
        <w:rPr>
          <w:rFonts w:hint="default"/>
          <w:b/>
          <w:bCs/>
          <w:lang w:val="en-US"/>
        </w:rPr>
        <w:t>Hedging and Underwriting Methodology</w:t>
      </w:r>
    </w:p>
    <w:p w14:paraId="0BB2A2E8">
      <w:pPr>
        <w:jc w:val="both"/>
        <w:rPr>
          <w:rFonts w:hint="default"/>
          <w:lang w:val="en-US"/>
        </w:rPr>
      </w:pPr>
      <w:r>
        <w:rPr>
          <w:rFonts w:hint="default"/>
          <w:lang w:val="en-US"/>
        </w:rPr>
        <w:t>For each Syno Aurelius Dollar ordered, four additional units are issued and distributed as follows:</w:t>
      </w:r>
    </w:p>
    <w:p w14:paraId="120D8B69">
      <w:pPr>
        <w:jc w:val="both"/>
        <w:rPr>
          <w:rFonts w:hint="default"/>
          <w:lang w:val="en-US"/>
        </w:rPr>
      </w:pPr>
    </w:p>
    <w:p w14:paraId="2DD9620F">
      <w:pPr>
        <w:numPr>
          <w:ilvl w:val="0"/>
          <w:numId w:val="6"/>
        </w:numPr>
        <w:ind w:left="425" w:leftChars="0" w:hanging="425" w:firstLineChars="0"/>
        <w:jc w:val="both"/>
        <w:rPr>
          <w:rFonts w:hint="default"/>
          <w:lang w:val="en-US"/>
        </w:rPr>
      </w:pPr>
      <w:r>
        <w:rPr>
          <w:rFonts w:hint="default"/>
          <w:lang w:val="en-US"/>
        </w:rPr>
        <w:t xml:space="preserve">One unit to a Currency Reserve Fund in the Central Bank – Creating a currency reserve to </w:t>
      </w:r>
      <w:r>
        <w:rPr>
          <w:rFonts w:hint="default"/>
          <w:lang w:val="en-US"/>
        </w:rPr>
        <w:tab/>
      </w:r>
      <w:r>
        <w:rPr>
          <w:rFonts w:hint="default"/>
          <w:lang w:val="en-US"/>
        </w:rPr>
        <w:t>ensure liquidity.</w:t>
      </w:r>
    </w:p>
    <w:p w14:paraId="120100F2">
      <w:pPr>
        <w:jc w:val="both"/>
        <w:rPr>
          <w:rFonts w:hint="default"/>
          <w:lang w:val="en-US"/>
        </w:rPr>
      </w:pPr>
    </w:p>
    <w:p w14:paraId="6E61DAFC">
      <w:pPr>
        <w:numPr>
          <w:ilvl w:val="0"/>
          <w:numId w:val="6"/>
        </w:numPr>
        <w:ind w:left="425" w:leftChars="0" w:hanging="425" w:firstLineChars="0"/>
        <w:jc w:val="both"/>
        <w:rPr>
          <w:rFonts w:hint="default"/>
          <w:lang w:val="en-US"/>
        </w:rPr>
      </w:pPr>
      <w:r>
        <w:rPr>
          <w:rFonts w:hint="default"/>
          <w:lang w:val="en-US"/>
        </w:rPr>
        <w:t xml:space="preserve">One unit to a Country Gold Investment Account in LBBullion Banque – Establishing a currency </w:t>
      </w:r>
      <w:r>
        <w:rPr>
          <w:rFonts w:hint="default"/>
          <w:lang w:val="en-US"/>
        </w:rPr>
        <w:tab/>
      </w:r>
      <w:r>
        <w:rPr>
          <w:rFonts w:hint="default"/>
          <w:lang w:val="en-US"/>
        </w:rPr>
        <w:t>underwriting system to back the issued currency with tangible assets.</w:t>
      </w:r>
    </w:p>
    <w:p w14:paraId="4A97E3AA">
      <w:pPr>
        <w:jc w:val="both"/>
        <w:rPr>
          <w:rFonts w:hint="default"/>
          <w:lang w:val="en-US"/>
        </w:rPr>
      </w:pPr>
    </w:p>
    <w:p w14:paraId="63628AAC">
      <w:pPr>
        <w:numPr>
          <w:ilvl w:val="0"/>
          <w:numId w:val="6"/>
        </w:numPr>
        <w:ind w:left="425" w:leftChars="0" w:hanging="425" w:firstLineChars="0"/>
        <w:jc w:val="both"/>
        <w:rPr>
          <w:rFonts w:hint="default"/>
          <w:lang w:val="en-US"/>
        </w:rPr>
      </w:pPr>
      <w:r>
        <w:rPr>
          <w:rFonts w:hint="default"/>
          <w:lang w:val="en-US"/>
        </w:rPr>
        <w:t xml:space="preserve">One unit to the Syno Aurelius National Insurance Corporation – Mitigating financial risks </w:t>
      </w:r>
      <w:r>
        <w:rPr>
          <w:rFonts w:hint="default"/>
          <w:lang w:val="en-US"/>
        </w:rPr>
        <w:tab/>
      </w:r>
      <w:r>
        <w:rPr>
          <w:rFonts w:hint="default"/>
          <w:lang w:val="en-US"/>
        </w:rPr>
        <w:t>associated with currency fluctuations.</w:t>
      </w:r>
    </w:p>
    <w:p w14:paraId="2527306E">
      <w:pPr>
        <w:jc w:val="both"/>
        <w:rPr>
          <w:rFonts w:hint="default"/>
          <w:lang w:val="en-US"/>
        </w:rPr>
      </w:pPr>
    </w:p>
    <w:p w14:paraId="00444720">
      <w:pPr>
        <w:numPr>
          <w:ilvl w:val="0"/>
          <w:numId w:val="6"/>
        </w:numPr>
        <w:ind w:left="425" w:leftChars="0" w:hanging="425" w:firstLineChars="0"/>
        <w:jc w:val="both"/>
        <w:rPr>
          <w:rFonts w:hint="default"/>
          <w:lang w:val="en-US"/>
        </w:rPr>
      </w:pPr>
      <w:r>
        <w:rPr>
          <w:rFonts w:hint="default"/>
          <w:lang w:val="en-US"/>
        </w:rPr>
        <w:t xml:space="preserve">One unit to the Syno Aurelius Sovereign Hedge and Wealth Fund – Ensuring income </w:t>
      </w:r>
      <w:r>
        <w:rPr>
          <w:rFonts w:hint="default"/>
          <w:lang w:val="en-US"/>
        </w:rPr>
        <w:tab/>
      </w:r>
      <w:r>
        <w:rPr>
          <w:rFonts w:hint="default"/>
          <w:lang w:val="en-US"/>
        </w:rPr>
        <w:t>generation and long-term financial growth.</w:t>
      </w:r>
    </w:p>
    <w:p w14:paraId="5CB3F69D">
      <w:pPr>
        <w:jc w:val="both"/>
        <w:rPr>
          <w:rFonts w:hint="default"/>
          <w:lang w:val="en-US"/>
        </w:rPr>
      </w:pPr>
    </w:p>
    <w:p w14:paraId="7C83E9D6">
      <w:pPr>
        <w:numPr>
          <w:ilvl w:val="0"/>
          <w:numId w:val="6"/>
        </w:numPr>
        <w:ind w:left="425" w:leftChars="0" w:hanging="425" w:firstLineChars="0"/>
        <w:jc w:val="both"/>
        <w:rPr>
          <w:rFonts w:hint="default"/>
          <w:lang w:val="en-US"/>
        </w:rPr>
      </w:pPr>
      <w:r>
        <w:rPr>
          <w:rFonts w:hint="default"/>
          <w:lang w:val="en-US"/>
        </w:rPr>
        <w:t xml:space="preserve">One unit for distribution (payments) – Supporting economic transactions and monetary </w:t>
      </w:r>
      <w:r>
        <w:rPr>
          <w:rFonts w:hint="default"/>
          <w:lang w:val="en-US"/>
        </w:rPr>
        <w:tab/>
      </w:r>
      <w:r>
        <w:rPr>
          <w:rFonts w:hint="default"/>
          <w:lang w:val="en-US"/>
        </w:rPr>
        <w:t>circulation.</w:t>
      </w:r>
    </w:p>
    <w:p w14:paraId="061AA742">
      <w:pPr>
        <w:jc w:val="both"/>
        <w:rPr>
          <w:rFonts w:hint="default"/>
          <w:lang w:val="en-US"/>
        </w:rPr>
      </w:pPr>
    </w:p>
    <w:p w14:paraId="6ED69F60">
      <w:pPr>
        <w:jc w:val="both"/>
        <w:rPr>
          <w:rFonts w:hint="default"/>
          <w:lang w:val="en-US"/>
        </w:rPr>
      </w:pPr>
    </w:p>
    <w:p w14:paraId="25A85486">
      <w:pPr>
        <w:jc w:val="both"/>
        <w:rPr>
          <w:rFonts w:hint="default"/>
          <w:lang w:val="en-US"/>
        </w:rPr>
      </w:pPr>
    </w:p>
    <w:p w14:paraId="160B405D">
      <w:pPr>
        <w:jc w:val="both"/>
        <w:rPr>
          <w:rFonts w:hint="default"/>
          <w:lang w:val="en-US"/>
        </w:rPr>
      </w:pPr>
      <w:r>
        <w:rPr>
          <w:rFonts w:hint="default"/>
          <w:lang w:val="en-US"/>
        </w:rPr>
        <w:t>Furthermore, it is a directive from the Central Bank that the value of the risk-weighted assets of Syno Aurelius must be equal to or greater than the amount of currency issued for distribution as per point (5) above.</w:t>
      </w:r>
    </w:p>
    <w:p w14:paraId="47391274">
      <w:pPr>
        <w:jc w:val="both"/>
        <w:rPr>
          <w:rFonts w:hint="default"/>
          <w:lang w:val="en-US"/>
        </w:rPr>
      </w:pPr>
    </w:p>
    <w:p w14:paraId="20850C73">
      <w:pPr>
        <w:jc w:val="both"/>
        <w:rPr>
          <w:rFonts w:hint="default"/>
          <w:lang w:val="en-US"/>
        </w:rPr>
      </w:pPr>
    </w:p>
    <w:p w14:paraId="3EDDF781">
      <w:pPr>
        <w:numPr>
          <w:ilvl w:val="0"/>
          <w:numId w:val="1"/>
        </w:numPr>
        <w:ind w:left="425" w:leftChars="0" w:hanging="425" w:firstLineChars="0"/>
        <w:jc w:val="both"/>
        <w:rPr>
          <w:rFonts w:hint="default"/>
          <w:b/>
          <w:bCs/>
          <w:lang w:val="en-US"/>
        </w:rPr>
      </w:pPr>
      <w:r>
        <w:rPr>
          <w:rFonts w:hint="default"/>
          <w:b/>
          <w:bCs/>
          <w:lang w:val="en-US"/>
        </w:rPr>
        <w:t xml:space="preserve"> Currency Value Analysis</w:t>
      </w:r>
    </w:p>
    <w:p w14:paraId="056E507B">
      <w:pPr>
        <w:jc w:val="both"/>
        <w:rPr>
          <w:rFonts w:hint="default"/>
          <w:lang w:val="en-US"/>
        </w:rPr>
      </w:pPr>
      <w:r>
        <w:rPr>
          <w:rFonts w:hint="default"/>
          <w:lang w:val="en-US"/>
        </w:rPr>
        <w:t>To ensure stability, the Syno Aurelius monetary system follows these principles:</w:t>
      </w:r>
    </w:p>
    <w:p w14:paraId="2B9EB528">
      <w:pPr>
        <w:jc w:val="both"/>
        <w:rPr>
          <w:rFonts w:hint="default"/>
          <w:lang w:val="en-US"/>
        </w:rPr>
      </w:pPr>
    </w:p>
    <w:p w14:paraId="6FF23CF6">
      <w:pPr>
        <w:jc w:val="both"/>
        <w:rPr>
          <w:rFonts w:hint="default"/>
          <w:lang w:val="en-US"/>
        </w:rPr>
      </w:pPr>
      <w:r>
        <w:rPr>
          <w:rFonts w:hint="default"/>
          <w:lang w:val="en-US"/>
        </w:rPr>
        <w:t>Pegging the Syno Aurelius Dollar to the USD – Maintaining a 1:1 exchange rate to provide stability.</w:t>
      </w:r>
    </w:p>
    <w:p w14:paraId="2F6617C7">
      <w:pPr>
        <w:jc w:val="both"/>
        <w:rPr>
          <w:rFonts w:hint="default"/>
          <w:lang w:val="en-US"/>
        </w:rPr>
      </w:pPr>
    </w:p>
    <w:p w14:paraId="2B9E62CC">
      <w:pPr>
        <w:jc w:val="both"/>
        <w:rPr>
          <w:rFonts w:hint="default"/>
          <w:lang w:val="en-US"/>
        </w:rPr>
      </w:pPr>
      <w:r>
        <w:rPr>
          <w:rFonts w:hint="default"/>
          <w:lang w:val="en-US"/>
        </w:rPr>
        <w:t>Reserves and Collateralize – Backing currency issuance with tangible assets (gold, reserves, and financial instruments).</w:t>
      </w:r>
    </w:p>
    <w:p w14:paraId="4946EED4">
      <w:pPr>
        <w:jc w:val="both"/>
        <w:rPr>
          <w:rFonts w:hint="default"/>
          <w:lang w:val="en-US"/>
        </w:rPr>
      </w:pPr>
    </w:p>
    <w:p w14:paraId="42EAF026">
      <w:pPr>
        <w:jc w:val="both"/>
        <w:rPr>
          <w:rFonts w:hint="default"/>
          <w:lang w:val="en-US"/>
        </w:rPr>
      </w:pPr>
      <w:r>
        <w:rPr>
          <w:rFonts w:hint="default"/>
          <w:lang w:val="en-US"/>
        </w:rPr>
        <w:t>Hedging Against Inflation and Depreciation – Using sovereign funds and insurance mechanisms to mitigate currency risks.</w:t>
      </w:r>
    </w:p>
    <w:p w14:paraId="30432AF2">
      <w:pPr>
        <w:jc w:val="both"/>
        <w:rPr>
          <w:rFonts w:hint="default"/>
          <w:lang w:val="en-US"/>
        </w:rPr>
      </w:pPr>
    </w:p>
    <w:p w14:paraId="4A775027">
      <w:pPr>
        <w:jc w:val="both"/>
        <w:rPr>
          <w:rFonts w:hint="default"/>
          <w:lang w:val="en-US"/>
        </w:rPr>
      </w:pPr>
      <w:r>
        <w:rPr>
          <w:rFonts w:hint="default"/>
          <w:lang w:val="en-US"/>
        </w:rPr>
        <w:t>Liquidity Control – The NSB monitors money supply to prevent inflationary pressures.</w:t>
      </w:r>
    </w:p>
    <w:p w14:paraId="708A9920">
      <w:pPr>
        <w:jc w:val="both"/>
        <w:rPr>
          <w:rFonts w:hint="default"/>
          <w:lang w:val="en-US"/>
        </w:rPr>
      </w:pPr>
    </w:p>
    <w:p w14:paraId="3F5B18EA">
      <w:pPr>
        <w:jc w:val="both"/>
        <w:rPr>
          <w:rFonts w:hint="default"/>
          <w:lang w:val="en-US"/>
        </w:rPr>
      </w:pPr>
      <w:r>
        <w:rPr>
          <w:rFonts w:hint="default"/>
          <w:lang w:val="en-US"/>
        </w:rPr>
        <w:t>Digital Integration – Ensuring transparency, security, and efficiency in digital transactions.</w:t>
      </w:r>
    </w:p>
    <w:p w14:paraId="4C715773">
      <w:pPr>
        <w:jc w:val="both"/>
        <w:rPr>
          <w:rFonts w:hint="default"/>
          <w:lang w:val="en-US"/>
        </w:rPr>
      </w:pPr>
    </w:p>
    <w:p w14:paraId="0A550046">
      <w:pPr>
        <w:jc w:val="both"/>
        <w:rPr>
          <w:rFonts w:hint="default"/>
          <w:lang w:val="en-US"/>
        </w:rPr>
      </w:pPr>
    </w:p>
    <w:p w14:paraId="4BEBC939">
      <w:pPr>
        <w:jc w:val="both"/>
        <w:rPr>
          <w:rFonts w:hint="default"/>
          <w:lang w:val="en-US"/>
        </w:rPr>
      </w:pPr>
    </w:p>
    <w:p w14:paraId="0D02604D">
      <w:pPr>
        <w:numPr>
          <w:ilvl w:val="0"/>
          <w:numId w:val="1"/>
        </w:numPr>
        <w:ind w:left="425" w:leftChars="0" w:hanging="425" w:firstLineChars="0"/>
        <w:jc w:val="both"/>
        <w:rPr>
          <w:rFonts w:hint="default"/>
          <w:b/>
          <w:bCs/>
          <w:lang w:val="en-US"/>
        </w:rPr>
      </w:pPr>
      <w:r>
        <w:rPr>
          <w:rFonts w:hint="default"/>
          <w:b/>
          <w:bCs/>
          <w:lang w:val="en-US"/>
        </w:rPr>
        <w:t>Transfer Mechanism &amp; Technology Service Provider</w:t>
      </w:r>
    </w:p>
    <w:p w14:paraId="6FE2C03B">
      <w:pPr>
        <w:jc w:val="both"/>
        <w:rPr>
          <w:rFonts w:hint="default"/>
          <w:lang w:val="en-US"/>
        </w:rPr>
      </w:pPr>
      <w:r>
        <w:rPr>
          <w:rFonts w:hint="default"/>
          <w:lang w:val="en-US"/>
        </w:rPr>
        <w:t>The preferred Technology Service Provider for the Syno Aurelius Dollar is Xvault Global.</w:t>
      </w:r>
    </w:p>
    <w:p w14:paraId="241FE2E2">
      <w:pPr>
        <w:jc w:val="both"/>
        <w:rPr>
          <w:rFonts w:hint="default"/>
          <w:lang w:val="en-US"/>
        </w:rPr>
      </w:pPr>
    </w:p>
    <w:p w14:paraId="1DF0A1A2">
      <w:pPr>
        <w:jc w:val="both"/>
        <w:rPr>
          <w:rFonts w:hint="default"/>
          <w:lang w:val="en-US"/>
        </w:rPr>
      </w:pPr>
      <w:r>
        <w:rPr>
          <w:rFonts w:hint="default"/>
          <w:lang w:val="en-US"/>
        </w:rPr>
        <w:t>All financial transactions, including remittances, transfers, payments, clearing, and settlements, are conducted using xvault.org, which provides:</w:t>
      </w:r>
    </w:p>
    <w:p w14:paraId="4B5D221B">
      <w:pPr>
        <w:jc w:val="both"/>
        <w:rPr>
          <w:rFonts w:hint="default"/>
          <w:lang w:val="en-US"/>
        </w:rPr>
      </w:pPr>
    </w:p>
    <w:p w14:paraId="6A5846CE">
      <w:pPr>
        <w:numPr>
          <w:ilvl w:val="0"/>
          <w:numId w:val="7"/>
        </w:numPr>
        <w:ind w:left="425" w:leftChars="0" w:hanging="425" w:firstLineChars="0"/>
        <w:jc w:val="both"/>
        <w:rPr>
          <w:rFonts w:hint="default"/>
          <w:lang w:val="en-US"/>
        </w:rPr>
      </w:pPr>
      <w:r>
        <w:rPr>
          <w:rFonts w:hint="default"/>
          <w:lang w:val="en-US"/>
        </w:rPr>
        <w:t>Bank-to-Bank (B2B) Transfers – Secure, real-time Inter-bank transactions.</w:t>
      </w:r>
    </w:p>
    <w:p w14:paraId="20D9D385">
      <w:pPr>
        <w:numPr>
          <w:ilvl w:val="0"/>
          <w:numId w:val="7"/>
        </w:numPr>
        <w:ind w:left="425" w:leftChars="0" w:hanging="425" w:firstLineChars="0"/>
        <w:jc w:val="both"/>
        <w:rPr>
          <w:rFonts w:hint="default"/>
          <w:lang w:val="en-US"/>
        </w:rPr>
      </w:pPr>
      <w:r>
        <w:rPr>
          <w:rFonts w:hint="default"/>
          <w:lang w:val="en-US"/>
        </w:rPr>
        <w:t>Server-to-Server (S2S) Transactions – Direct financial data exchange between institutions.</w:t>
      </w:r>
    </w:p>
    <w:p w14:paraId="21D6BC50">
      <w:pPr>
        <w:numPr>
          <w:ilvl w:val="0"/>
          <w:numId w:val="7"/>
        </w:numPr>
        <w:ind w:left="425" w:leftChars="0" w:hanging="425" w:firstLineChars="0"/>
        <w:jc w:val="both"/>
        <w:rPr>
          <w:rFonts w:hint="default"/>
          <w:lang w:val="en-US"/>
        </w:rPr>
      </w:pPr>
      <w:r>
        <w:rPr>
          <w:rFonts w:hint="default"/>
          <w:lang w:val="en-US"/>
        </w:rPr>
        <w:t xml:space="preserve">Ledger-to-Ledger (L2L) Clearing – Secure, digital clearing of transactions between financial </w:t>
      </w:r>
      <w:r>
        <w:rPr>
          <w:rFonts w:hint="default"/>
          <w:lang w:val="en-US"/>
        </w:rPr>
        <w:tab/>
      </w:r>
      <w:r>
        <w:rPr>
          <w:rFonts w:hint="default"/>
          <w:lang w:val="en-US"/>
        </w:rPr>
        <w:t>entities.</w:t>
      </w:r>
    </w:p>
    <w:p w14:paraId="345884BF">
      <w:pPr>
        <w:numPr>
          <w:ilvl w:val="0"/>
          <w:numId w:val="7"/>
        </w:numPr>
        <w:ind w:left="425" w:leftChars="0" w:hanging="425" w:firstLineChars="0"/>
        <w:jc w:val="both"/>
        <w:rPr>
          <w:rFonts w:hint="default"/>
          <w:lang w:val="en-US"/>
        </w:rPr>
      </w:pPr>
      <w:r>
        <w:rPr>
          <w:rFonts w:hint="default"/>
          <w:lang w:val="en-US"/>
        </w:rPr>
        <w:t xml:space="preserve">Account-to-Account (A2A) Remittances – Fast and secure transfers for individual and </w:t>
      </w:r>
      <w:r>
        <w:rPr>
          <w:rFonts w:hint="default"/>
          <w:lang w:val="en-US"/>
        </w:rPr>
        <w:tab/>
      </w:r>
      <w:r>
        <w:rPr>
          <w:rFonts w:hint="default"/>
          <w:lang w:val="en-US"/>
        </w:rPr>
        <w:t>business accounts.</w:t>
      </w:r>
    </w:p>
    <w:p w14:paraId="2B39AF4F">
      <w:pPr>
        <w:jc w:val="both"/>
        <w:rPr>
          <w:rFonts w:hint="default"/>
          <w:lang w:val="en-US"/>
        </w:rPr>
      </w:pPr>
    </w:p>
    <w:p w14:paraId="27EC9128">
      <w:pPr>
        <w:jc w:val="both"/>
        <w:rPr>
          <w:rFonts w:hint="default"/>
          <w:lang w:val="en-US"/>
        </w:rPr>
      </w:pPr>
    </w:p>
    <w:p w14:paraId="02A393ED">
      <w:pPr>
        <w:jc w:val="both"/>
        <w:rPr>
          <w:rFonts w:hint="default"/>
          <w:lang w:val="en-US"/>
        </w:rPr>
      </w:pPr>
      <w:r>
        <w:rPr>
          <w:rFonts w:hint="default"/>
          <w:lang w:val="en-US"/>
        </w:rPr>
        <w:t xml:space="preserve">International Monetary Fund (IMF) Guidelines on Exchange Rate Regimes and Currency Issuance </w:t>
      </w:r>
    </w:p>
    <w:p w14:paraId="5F2DDE4B">
      <w:pPr>
        <w:jc w:val="both"/>
        <w:rPr>
          <w:rFonts w:hint="default"/>
          <w:lang w:val="en-US"/>
        </w:rPr>
      </w:pPr>
      <w:r>
        <w:rPr>
          <w:rFonts w:hint="default"/>
          <w:lang w:val="en-US"/>
        </w:rPr>
        <w:t xml:space="preserve">The International Monetary Fund (IMF) provides comprehensive guidelines on exchange rate regimes and the issuance of national currencies. According to the IMF's "Annual Report on Exchange Arrangements and Exchange Restrictions," countries have the discretion to choose their exchange rate regime, including fixed pegs, managed floats, and free-floating systems. The IMF recognizes monetary sovereignty, allowing countries to determine how they manage their currency's value. Syno Aurelius' decision to peg its currency to the USD is a valid approach under these guidelines, promoting stability and transparency. </w:t>
      </w:r>
    </w:p>
    <w:p w14:paraId="5B6A8178">
      <w:pPr>
        <w:jc w:val="both"/>
        <w:rPr>
          <w:rFonts w:hint="default"/>
          <w:lang w:val="en-US"/>
        </w:rPr>
      </w:pPr>
    </w:p>
    <w:p w14:paraId="205EC0FD">
      <w:pPr>
        <w:jc w:val="both"/>
        <w:rPr>
          <w:rFonts w:hint="default"/>
          <w:lang w:val="en-US"/>
        </w:rPr>
      </w:pPr>
      <w:r>
        <w:rPr>
          <w:rFonts w:hint="default"/>
          <w:lang w:val="en-US"/>
        </w:rPr>
        <w:t>The use of government guarantees to support the currency is also consistent with practices seen in many sovereign nations, particularly in maintaining financial stability and investor confidence.</w:t>
      </w:r>
    </w:p>
    <w:p w14:paraId="6FD0D8B7">
      <w:pPr>
        <w:jc w:val="both"/>
        <w:rPr>
          <w:rFonts w:hint="default"/>
          <w:lang w:val="en-US"/>
        </w:rPr>
      </w:pPr>
    </w:p>
    <w:p w14:paraId="307ACD83">
      <w:pPr>
        <w:jc w:val="both"/>
        <w:rPr>
          <w:rFonts w:hint="default"/>
          <w:lang w:val="en-US"/>
        </w:rPr>
      </w:pPr>
    </w:p>
    <w:p w14:paraId="43F6BD8F">
      <w:pPr>
        <w:jc w:val="both"/>
        <w:rPr>
          <w:rFonts w:hint="default"/>
          <w:b/>
          <w:bCs/>
          <w:lang w:val="en-US"/>
        </w:rPr>
      </w:pPr>
      <w:r>
        <w:rPr>
          <w:rFonts w:hint="default"/>
          <w:b/>
          <w:bCs/>
          <w:lang w:val="en-US"/>
        </w:rPr>
        <w:t>References and Precedents</w:t>
      </w:r>
    </w:p>
    <w:p w14:paraId="15B0D6C5">
      <w:pPr>
        <w:jc w:val="both"/>
        <w:rPr>
          <w:rFonts w:hint="default"/>
          <w:lang w:val="en-US"/>
        </w:rPr>
      </w:pPr>
    </w:p>
    <w:p w14:paraId="793CAA40">
      <w:pPr>
        <w:numPr>
          <w:ilvl w:val="0"/>
          <w:numId w:val="8"/>
        </w:numPr>
        <w:ind w:left="425" w:leftChars="0" w:hanging="425" w:firstLineChars="0"/>
        <w:jc w:val="both"/>
        <w:rPr>
          <w:rFonts w:hint="default"/>
          <w:lang w:val="en-US"/>
        </w:rPr>
      </w:pPr>
      <w:r>
        <w:rPr>
          <w:rFonts w:hint="default"/>
          <w:lang w:val="en-US"/>
        </w:rPr>
        <w:t>Montevideo Convention on the Rights and Duties of States, 1933.</w:t>
      </w:r>
    </w:p>
    <w:p w14:paraId="6BDE22ED">
      <w:pPr>
        <w:numPr>
          <w:ilvl w:val="0"/>
          <w:numId w:val="8"/>
        </w:numPr>
        <w:ind w:left="425" w:leftChars="0" w:hanging="425" w:firstLineChars="0"/>
        <w:jc w:val="both"/>
        <w:rPr>
          <w:rFonts w:hint="default"/>
          <w:lang w:val="en-US"/>
        </w:rPr>
      </w:pPr>
      <w:r>
        <w:rPr>
          <w:rFonts w:hint="default"/>
          <w:lang w:val="en-US"/>
        </w:rPr>
        <w:t>Modern Monetary Theory (Stephanie Kelton, "The Deficit Myth: Modern Monetary Theory and the Birth of the People’s Economy," 2020).</w:t>
      </w:r>
    </w:p>
    <w:p w14:paraId="4A99144D">
      <w:pPr>
        <w:numPr>
          <w:ilvl w:val="0"/>
          <w:numId w:val="8"/>
        </w:numPr>
        <w:ind w:left="425" w:leftChars="0" w:hanging="425" w:firstLineChars="0"/>
        <w:jc w:val="both"/>
        <w:rPr>
          <w:rFonts w:hint="default"/>
          <w:lang w:val="en-US"/>
        </w:rPr>
      </w:pPr>
      <w:r>
        <w:rPr>
          <w:rFonts w:hint="default"/>
          <w:lang w:val="en-US"/>
        </w:rPr>
        <w:t>International Monetary Fund (IMF), "Annual Report on Exchange Arrangements and Exchange Restrictions."</w:t>
      </w:r>
    </w:p>
    <w:p w14:paraId="68292982">
      <w:pPr>
        <w:numPr>
          <w:ilvl w:val="0"/>
          <w:numId w:val="8"/>
        </w:numPr>
        <w:ind w:left="425" w:leftChars="0" w:hanging="425" w:firstLineChars="0"/>
        <w:jc w:val="both"/>
        <w:rPr>
          <w:rFonts w:hint="default"/>
          <w:lang w:val="en-US"/>
        </w:rPr>
      </w:pPr>
      <w:r>
        <w:rPr>
          <w:rFonts w:hint="default"/>
          <w:lang w:val="en-US"/>
        </w:rPr>
        <w:t>Historical precedents of currency pegs (e.g., Hong Kong Monetary Authority's peg to the USD).</w:t>
      </w:r>
    </w:p>
    <w:p w14:paraId="64B122EC">
      <w:pPr>
        <w:numPr>
          <w:ilvl w:val="0"/>
          <w:numId w:val="8"/>
        </w:numPr>
        <w:ind w:left="425" w:leftChars="0" w:hanging="425" w:firstLineChars="0"/>
        <w:jc w:val="both"/>
        <w:rPr>
          <w:rFonts w:hint="default"/>
          <w:lang w:val="en-US"/>
        </w:rPr>
      </w:pPr>
      <w:r>
        <w:rPr>
          <w:rFonts w:hint="default"/>
          <w:lang w:val="en-US"/>
        </w:rPr>
        <w:t>International Monetary Fund (IMF) guidelines on exchange rate regimes and currency issuance.</w:t>
      </w:r>
    </w:p>
    <w:p w14:paraId="2626FFC0">
      <w:pPr>
        <w:jc w:val="both"/>
        <w:rPr>
          <w:rFonts w:hint="default"/>
          <w:lang w:val="en-US"/>
        </w:rPr>
      </w:pPr>
    </w:p>
    <w:p w14:paraId="13A16A67">
      <w:pPr>
        <w:jc w:val="both"/>
        <w:rPr>
          <w:rFonts w:hint="default"/>
          <w:lang w:val="en-US"/>
        </w:rPr>
      </w:pPr>
    </w:p>
    <w:p w14:paraId="582C542D">
      <w:pPr>
        <w:jc w:val="both"/>
        <w:rPr>
          <w:rFonts w:hint="default"/>
          <w:b/>
          <w:bCs/>
          <w:lang w:val="en-US"/>
        </w:rPr>
      </w:pPr>
      <w:r>
        <w:rPr>
          <w:rFonts w:hint="default"/>
          <w:b/>
          <w:bCs/>
          <w:lang w:val="en-US"/>
        </w:rPr>
        <w:t>A compilation of quotations from political leaders, economists, academics, and judges on the right of a country to issue its own currency and determine its value:</w:t>
      </w:r>
    </w:p>
    <w:p w14:paraId="764E8ADD">
      <w:pPr>
        <w:jc w:val="both"/>
        <w:rPr>
          <w:rFonts w:hint="default"/>
          <w:lang w:val="en-US"/>
        </w:rPr>
      </w:pPr>
    </w:p>
    <w:p w14:paraId="55CAB1C5">
      <w:pPr>
        <w:jc w:val="both"/>
        <w:rPr>
          <w:rFonts w:hint="default"/>
          <w:lang w:val="en-US"/>
        </w:rPr>
      </w:pPr>
      <w:r>
        <w:rPr>
          <w:rFonts w:hint="default"/>
          <w:lang w:val="en-US"/>
        </w:rPr>
        <w:t>Mayer Amschel Rothschild (1744–1812), Founder of the Rothschild Banking Dynasty:</w:t>
      </w:r>
      <w:r>
        <w:rPr>
          <w:rFonts w:hint="default"/>
          <w:lang w:val="en-US"/>
        </w:rPr>
        <w:br w:type="textWrapping"/>
      </w:r>
      <w:r>
        <w:rPr>
          <w:rFonts w:hint="default"/>
          <w:lang w:val="en-US"/>
        </w:rPr>
        <w:t>"Permit me to issue and control the money of a nation, and I care not who makes its laws."</w:t>
      </w:r>
      <w:r>
        <w:rPr>
          <w:rFonts w:hint="default"/>
          <w:lang w:val="en-US"/>
        </w:rPr>
        <w:br w:type="textWrapping"/>
      </w:r>
      <w:r>
        <w:rPr>
          <w:rFonts w:hint="default"/>
          <w:lang w:val="en-US"/>
        </w:rPr>
        <w:t>(</w:t>
      </w:r>
      <w:r>
        <w:rPr>
          <w:rFonts w:hint="default"/>
          <w:lang w:val="en-US"/>
        </w:rPr>
        <w:fldChar w:fldCharType="begin"/>
      </w:r>
      <w:r>
        <w:rPr>
          <w:rFonts w:hint="default"/>
          <w:lang w:val="en-US"/>
        </w:rPr>
        <w:instrText xml:space="preserve"> HYPERLINK "https://www.azquotes.com/author/21034-Mayer_Amschel_Rothschild?utm_source=chatgpt.com" \t "_new" </w:instrText>
      </w:r>
      <w:r>
        <w:rPr>
          <w:rFonts w:hint="default"/>
          <w:lang w:val="en-US"/>
        </w:rPr>
        <w:fldChar w:fldCharType="separate"/>
      </w:r>
      <w:r>
        <w:rPr>
          <w:rFonts w:hint="default"/>
          <w:lang w:val="en-US"/>
        </w:rPr>
        <w:t>Source</w:t>
      </w:r>
      <w:r>
        <w:rPr>
          <w:rFonts w:hint="default"/>
          <w:lang w:val="en-US"/>
        </w:rPr>
        <w:fldChar w:fldCharType="end"/>
      </w:r>
      <w:r>
        <w:rPr>
          <w:rFonts w:hint="default"/>
          <w:lang w:val="en-US"/>
        </w:rPr>
        <w:t>)</w:t>
      </w:r>
    </w:p>
    <w:p w14:paraId="789645E1">
      <w:pPr>
        <w:jc w:val="both"/>
        <w:rPr>
          <w:rFonts w:hint="default"/>
          <w:lang w:val="en-US"/>
        </w:rPr>
      </w:pPr>
    </w:p>
    <w:p w14:paraId="1B64E242">
      <w:pPr>
        <w:jc w:val="both"/>
        <w:rPr>
          <w:rFonts w:hint="default"/>
          <w:lang w:val="en-US"/>
        </w:rPr>
      </w:pPr>
      <w:r>
        <w:rPr>
          <w:rFonts w:hint="default"/>
          <w:lang w:val="en-US"/>
        </w:rPr>
        <w:t>Benjamin Franklin (1706–1790), Founding Father of the United States:</w:t>
      </w:r>
      <w:r>
        <w:rPr>
          <w:rFonts w:hint="default"/>
          <w:lang w:val="en-US"/>
        </w:rPr>
        <w:br w:type="textWrapping"/>
      </w:r>
      <w:r>
        <w:rPr>
          <w:rFonts w:hint="default"/>
          <w:lang w:val="en-US"/>
        </w:rPr>
        <w:t>"The inability of the Colonists to get power to issue their own money permanently out of the hands of George III and the international bankers was the prime reason for the revolutionary war."</w:t>
      </w:r>
      <w:r>
        <w:rPr>
          <w:rFonts w:hint="default"/>
          <w:lang w:val="en-US"/>
        </w:rPr>
        <w:br w:type="textWrapping"/>
      </w:r>
      <w:r>
        <w:rPr>
          <w:rFonts w:hint="default"/>
          <w:lang w:val="en-US"/>
        </w:rPr>
        <w:t>(</w:t>
      </w:r>
      <w:r>
        <w:rPr>
          <w:rFonts w:hint="default"/>
          <w:lang w:val="en-US"/>
        </w:rPr>
        <w:fldChar w:fldCharType="begin"/>
      </w:r>
      <w:r>
        <w:rPr>
          <w:rFonts w:hint="default"/>
          <w:lang w:val="en-US"/>
        </w:rPr>
        <w:instrText xml:space="preserve"> HYPERLINK "https://comer.org/news/quotations-on-the-monetary-system/?utm_source=chatgpt.com" \t "_new" </w:instrText>
      </w:r>
      <w:r>
        <w:rPr>
          <w:rFonts w:hint="default"/>
          <w:lang w:val="en-US"/>
        </w:rPr>
        <w:fldChar w:fldCharType="separate"/>
      </w:r>
      <w:r>
        <w:rPr>
          <w:rFonts w:hint="default"/>
          <w:lang w:val="en-US"/>
        </w:rPr>
        <w:t>Source</w:t>
      </w:r>
      <w:r>
        <w:rPr>
          <w:rFonts w:hint="default"/>
          <w:lang w:val="en-US"/>
        </w:rPr>
        <w:fldChar w:fldCharType="end"/>
      </w:r>
      <w:r>
        <w:rPr>
          <w:rFonts w:hint="default"/>
          <w:lang w:val="en-US"/>
        </w:rPr>
        <w:t>)</w:t>
      </w:r>
    </w:p>
    <w:p w14:paraId="0939B8B6">
      <w:pPr>
        <w:jc w:val="both"/>
        <w:rPr>
          <w:rFonts w:hint="default"/>
          <w:lang w:val="en-US"/>
        </w:rPr>
      </w:pPr>
    </w:p>
    <w:p w14:paraId="54CD8BE4">
      <w:pPr>
        <w:jc w:val="both"/>
        <w:rPr>
          <w:rFonts w:hint="default"/>
          <w:lang w:val="en-US"/>
        </w:rPr>
      </w:pPr>
      <w:r>
        <w:rPr>
          <w:rFonts w:hint="default"/>
          <w:lang w:val="en-US"/>
        </w:rPr>
        <w:t>John Maynard Keynes (1883–1946), British Economist:</w:t>
      </w:r>
      <w:r>
        <w:rPr>
          <w:rFonts w:hint="default"/>
          <w:lang w:val="en-US"/>
        </w:rPr>
        <w:br w:type="textWrapping"/>
      </w:r>
      <w:r>
        <w:rPr>
          <w:rFonts w:hint="default"/>
          <w:lang w:val="en-US"/>
        </w:rPr>
        <w:t>"The best way to destroy the capitalist system is to debauch the currency."</w:t>
      </w:r>
      <w:r>
        <w:rPr>
          <w:rFonts w:hint="default"/>
          <w:lang w:val="en-US"/>
        </w:rPr>
        <w:br w:type="textWrapping"/>
      </w:r>
      <w:r>
        <w:rPr>
          <w:rFonts w:hint="default"/>
          <w:lang w:val="en-US"/>
        </w:rPr>
        <w:t>(</w:t>
      </w:r>
      <w:r>
        <w:rPr>
          <w:rFonts w:hint="default"/>
          <w:lang w:val="en-US"/>
        </w:rPr>
        <w:fldChar w:fldCharType="begin"/>
      </w:r>
      <w:r>
        <w:rPr>
          <w:rFonts w:hint="default"/>
          <w:lang w:val="en-US"/>
        </w:rPr>
        <w:instrText xml:space="preserve"> HYPERLINK "https://www.azquotes.com/author/7958-John_Maynard_Keynes?utm_source=chatgpt.com" \t "_new" </w:instrText>
      </w:r>
      <w:r>
        <w:rPr>
          <w:rFonts w:hint="default"/>
          <w:lang w:val="en-US"/>
        </w:rPr>
        <w:fldChar w:fldCharType="separate"/>
      </w:r>
      <w:r>
        <w:rPr>
          <w:rFonts w:hint="default"/>
          <w:lang w:val="en-US"/>
        </w:rPr>
        <w:t>Source</w:t>
      </w:r>
      <w:r>
        <w:rPr>
          <w:rFonts w:hint="default"/>
          <w:lang w:val="en-US"/>
        </w:rPr>
        <w:fldChar w:fldCharType="end"/>
      </w:r>
      <w:r>
        <w:rPr>
          <w:rFonts w:hint="default"/>
          <w:lang w:val="en-US"/>
        </w:rPr>
        <w:t>)</w:t>
      </w:r>
    </w:p>
    <w:p w14:paraId="5D016460">
      <w:pPr>
        <w:jc w:val="both"/>
        <w:rPr>
          <w:rFonts w:hint="default"/>
          <w:lang w:val="en-US"/>
        </w:rPr>
      </w:pPr>
    </w:p>
    <w:p w14:paraId="1D23ADCB">
      <w:pPr>
        <w:jc w:val="both"/>
        <w:rPr>
          <w:rFonts w:hint="default"/>
          <w:lang w:val="en-US"/>
        </w:rPr>
      </w:pPr>
    </w:p>
    <w:p w14:paraId="5ABEE79E">
      <w:pPr>
        <w:jc w:val="both"/>
        <w:rPr>
          <w:rFonts w:hint="default"/>
          <w:lang w:val="en-US"/>
        </w:rPr>
      </w:pPr>
      <w:r>
        <w:rPr>
          <w:rFonts w:hint="default"/>
          <w:lang w:val="en-US"/>
        </w:rPr>
        <w:t>Friedrich A. Hayek (1899–1992), Nobel Laureate in Economic Sciences:</w:t>
      </w:r>
      <w:r>
        <w:rPr>
          <w:rFonts w:hint="default"/>
          <w:lang w:val="en-US"/>
        </w:rPr>
        <w:br w:type="textWrapping"/>
      </w:r>
      <w:r>
        <w:rPr>
          <w:rFonts w:hint="default"/>
          <w:lang w:val="en-US"/>
        </w:rPr>
        <w:t>In The Denationalization of Money (1976), Hayek explored the concept of competitively issued private currencies, challenging the traditional notion that currency issuance should be the exclusive domain of the state.</w:t>
      </w:r>
      <w:r>
        <w:rPr>
          <w:rFonts w:hint="default"/>
          <w:lang w:val="en-US"/>
        </w:rPr>
        <w:br w:type="textWrapping"/>
      </w:r>
      <w:r>
        <w:rPr>
          <w:rFonts w:hint="default"/>
          <w:lang w:val="en-US"/>
        </w:rPr>
        <w:t>(</w:t>
      </w:r>
      <w:r>
        <w:rPr>
          <w:rFonts w:hint="default"/>
          <w:lang w:val="en-US"/>
        </w:rPr>
        <w:fldChar w:fldCharType="begin"/>
      </w:r>
      <w:r>
        <w:rPr>
          <w:rFonts w:hint="default"/>
          <w:lang w:val="en-US"/>
        </w:rPr>
        <w:instrText xml:space="preserve"> HYPERLINK "https://en.wikiquote.org/wiki/The_Denationalization_of_Money?utm_source=chatgpt.com" \t "_new" </w:instrText>
      </w:r>
      <w:r>
        <w:rPr>
          <w:rFonts w:hint="default"/>
          <w:lang w:val="en-US"/>
        </w:rPr>
        <w:fldChar w:fldCharType="separate"/>
      </w:r>
      <w:r>
        <w:rPr>
          <w:rFonts w:hint="default"/>
          <w:lang w:val="en-US"/>
        </w:rPr>
        <w:t>Source</w:t>
      </w:r>
      <w:r>
        <w:rPr>
          <w:rFonts w:hint="default"/>
          <w:lang w:val="en-US"/>
        </w:rPr>
        <w:fldChar w:fldCharType="end"/>
      </w:r>
      <w:r>
        <w:rPr>
          <w:rFonts w:hint="default"/>
          <w:lang w:val="en-US"/>
        </w:rPr>
        <w:t>)</w:t>
      </w:r>
    </w:p>
    <w:p w14:paraId="44F3D5B8">
      <w:pPr>
        <w:jc w:val="both"/>
        <w:rPr>
          <w:rFonts w:hint="default"/>
          <w:lang w:val="en-US"/>
        </w:rPr>
      </w:pPr>
    </w:p>
    <w:p w14:paraId="7DE0726F">
      <w:pPr>
        <w:jc w:val="both"/>
        <w:rPr>
          <w:rFonts w:hint="default"/>
          <w:lang w:val="en-US"/>
        </w:rPr>
      </w:pPr>
      <w:r>
        <w:rPr>
          <w:rFonts w:hint="default"/>
          <w:lang w:val="en-US"/>
        </w:rPr>
        <w:t>Justice Joseph Story (1779–1845), Associate Justice of the U.S. Supreme Court:</w:t>
      </w:r>
      <w:r>
        <w:rPr>
          <w:rFonts w:hint="default"/>
          <w:lang w:val="en-US"/>
        </w:rPr>
        <w:br w:type="textWrapping"/>
      </w:r>
      <w:r>
        <w:rPr>
          <w:rFonts w:hint="default"/>
          <w:lang w:val="en-US"/>
        </w:rPr>
        <w:t>In his Commentaries on the Constitution (1833), Justice Story emphasized the importance of a uniform national currency, stating that allowing individual states to issue their own money could lead to "infinite embarrassment and vexations in the course of trade."</w:t>
      </w:r>
      <w:r>
        <w:rPr>
          <w:rFonts w:hint="default"/>
          <w:lang w:val="en-US"/>
        </w:rPr>
        <w:br w:type="textWrapping"/>
      </w:r>
      <w:r>
        <w:rPr>
          <w:rFonts w:hint="default"/>
          <w:lang w:val="en-US"/>
        </w:rPr>
        <w:t>(</w:t>
      </w:r>
      <w:r>
        <w:rPr>
          <w:rFonts w:hint="default"/>
          <w:lang w:val="en-US"/>
        </w:rPr>
        <w:fldChar w:fldCharType="begin"/>
      </w:r>
      <w:r>
        <w:rPr>
          <w:rFonts w:hint="default"/>
          <w:lang w:val="en-US"/>
        </w:rPr>
        <w:instrText xml:space="preserve"> HYPERLINK "https://constitutingamerica.org/march-24-2011-%E2%80%93-article-1-section-8-clauses-5-6-of-the-united-states-constitution-%E2%80%93-guest-essayist-troy-kickler-founding-director-of-north-carolina-history-project-and-editor-of-n/?utm_source=chatgpt.com" \t "_new" </w:instrText>
      </w:r>
      <w:r>
        <w:rPr>
          <w:rFonts w:hint="default"/>
          <w:lang w:val="en-US"/>
        </w:rPr>
        <w:fldChar w:fldCharType="separate"/>
      </w:r>
      <w:r>
        <w:rPr>
          <w:rFonts w:hint="default"/>
          <w:lang w:val="en-US"/>
        </w:rPr>
        <w:t>Source</w:t>
      </w:r>
      <w:r>
        <w:rPr>
          <w:rFonts w:hint="default"/>
          <w:lang w:val="en-US"/>
        </w:rPr>
        <w:fldChar w:fldCharType="end"/>
      </w:r>
      <w:r>
        <w:rPr>
          <w:rFonts w:hint="default"/>
          <w:lang w:val="en-US"/>
        </w:rPr>
        <w:t>)</w:t>
      </w:r>
    </w:p>
    <w:p w14:paraId="4F7C4D9E">
      <w:pPr>
        <w:jc w:val="both"/>
        <w:rPr>
          <w:rFonts w:hint="default"/>
          <w:lang w:val="en-US"/>
        </w:rPr>
      </w:pPr>
    </w:p>
    <w:p w14:paraId="6E44B778">
      <w:pPr>
        <w:jc w:val="both"/>
        <w:rPr>
          <w:rFonts w:hint="default"/>
          <w:lang w:val="en-US"/>
        </w:rPr>
      </w:pPr>
      <w:r>
        <w:rPr>
          <w:rFonts w:hint="default"/>
          <w:lang w:val="en-US"/>
        </w:rPr>
        <w:t>Professor Saule Omarova, Cornell Law School:</w:t>
      </w:r>
      <w:r>
        <w:rPr>
          <w:rFonts w:hint="default"/>
          <w:lang w:val="en-US"/>
        </w:rPr>
        <w:br w:type="textWrapping"/>
      </w:r>
      <w:r>
        <w:rPr>
          <w:rFonts w:hint="default"/>
          <w:lang w:val="en-US"/>
        </w:rPr>
        <w:t>Professor Omarova has extensively analyzed the role of government in currency issuance and banking regulation. Her academic work delves into the implications of state-controlled versus privately issued currencies, contributing to contemporary debates on monetary sovereignty.</w:t>
      </w:r>
      <w:r>
        <w:rPr>
          <w:rFonts w:hint="default"/>
          <w:lang w:val="en-US"/>
        </w:rPr>
        <w:br w:type="textWrapping"/>
      </w:r>
      <w:r>
        <w:rPr>
          <w:rFonts w:hint="default"/>
          <w:lang w:val="en-US"/>
        </w:rPr>
        <w:t>(</w:t>
      </w:r>
      <w:r>
        <w:rPr>
          <w:rFonts w:hint="default"/>
          <w:lang w:val="en-US"/>
        </w:rPr>
        <w:fldChar w:fldCharType="begin"/>
      </w:r>
      <w:r>
        <w:rPr>
          <w:rFonts w:hint="default"/>
          <w:lang w:val="en-US"/>
        </w:rPr>
        <w:instrText xml:space="preserve"> HYPERLINK "https://www.gibsondunn.com/the-us-comptroller-of-the-currency-nominee-and-her-writings-what-they-mean-for-banks-and-fintechs/?utm_source=chatgpt.com" \t "_new" </w:instrText>
      </w:r>
      <w:r>
        <w:rPr>
          <w:rFonts w:hint="default"/>
          <w:lang w:val="en-US"/>
        </w:rPr>
        <w:fldChar w:fldCharType="separate"/>
      </w:r>
      <w:r>
        <w:rPr>
          <w:rFonts w:hint="default"/>
          <w:lang w:val="en-US"/>
        </w:rPr>
        <w:t>Source</w:t>
      </w:r>
      <w:r>
        <w:rPr>
          <w:rFonts w:hint="default"/>
          <w:lang w:val="en-US"/>
        </w:rPr>
        <w:fldChar w:fldCharType="end"/>
      </w:r>
      <w:r>
        <w:rPr>
          <w:rFonts w:hint="default"/>
          <w:lang w:val="en-US"/>
        </w:rPr>
        <w:t>)</w:t>
      </w:r>
    </w:p>
    <w:p w14:paraId="00968CF6">
      <w:pPr>
        <w:jc w:val="both"/>
        <w:rPr>
          <w:rFonts w:hint="default"/>
          <w:lang w:val="en-US"/>
        </w:rPr>
      </w:pPr>
    </w:p>
    <w:p w14:paraId="70E8BD88">
      <w:pPr>
        <w:jc w:val="both"/>
        <w:rPr>
          <w:rFonts w:hint="default"/>
          <w:lang w:val="en-US"/>
        </w:rPr>
      </w:pPr>
      <w:r>
        <w:rPr>
          <w:rFonts w:hint="default"/>
          <w:lang w:val="en-US"/>
        </w:rPr>
        <w:t>These quotations collectively highlight the historical, economic, and legal perspectives on a nation's sovereign right to issue and regulate its currency, reinforcing the critical link between monetary control and national sovereignty.</w:t>
      </w:r>
    </w:p>
    <w:p w14:paraId="58CFB9B9">
      <w:pPr>
        <w:jc w:val="both"/>
        <w:rPr>
          <w:rFonts w:hint="default"/>
          <w:lang w:val="en-US"/>
        </w:rPr>
      </w:pPr>
    </w:p>
    <w:p w14:paraId="74FA3F85">
      <w:pPr>
        <w:jc w:val="both"/>
        <w:rPr>
          <w:rFonts w:hint="default"/>
          <w:lang w:val="en-US"/>
        </w:rPr>
      </w:pPr>
    </w:p>
    <w:p w14:paraId="3501DDC5">
      <w:pPr>
        <w:jc w:val="both"/>
        <w:rPr>
          <w:rFonts w:hint="default"/>
          <w:b/>
          <w:bCs/>
          <w:lang w:val="en-US"/>
        </w:rPr>
      </w:pPr>
      <w:r>
        <w:rPr>
          <w:rFonts w:hint="default"/>
          <w:b/>
          <w:bCs/>
          <w:lang w:val="en-US"/>
        </w:rPr>
        <w:t xml:space="preserve">Conclusion </w:t>
      </w:r>
    </w:p>
    <w:p w14:paraId="431CB52B">
      <w:pPr>
        <w:jc w:val="both"/>
        <w:rPr>
          <w:rFonts w:hint="default"/>
          <w:lang w:val="en-US"/>
        </w:rPr>
      </w:pPr>
      <w:r>
        <w:rPr>
          <w:rFonts w:hint="default"/>
          <w:lang w:val="en-US"/>
        </w:rPr>
        <w:t>The Syno Aurelius Dollar is a legitimate, sovereignty issued currency, backed by the full faith and guarantee of the Syno Aurelius Government. The decision to peg the currency to the USD and to issue it against a government guarantee is supported by international law, economic theory, and historical precedent. This substantiation document provides the necessary framework to validate the authenticity and credibility of the Syno Aurelius Dollar in domestic and international contexts.</w:t>
      </w:r>
    </w:p>
    <w:p w14:paraId="70AFF2C1">
      <w:pPr>
        <w:jc w:val="both"/>
        <w:rPr>
          <w:rFonts w:hint="default"/>
          <w:lang w:val="en-US"/>
        </w:rPr>
      </w:pPr>
    </w:p>
    <w:p w14:paraId="2C400708">
      <w:pPr>
        <w:jc w:val="both"/>
        <w:rPr>
          <w:rFonts w:hint="default"/>
          <w:b/>
          <w:bCs/>
          <w:lang w:val="en-US"/>
        </w:rPr>
      </w:pPr>
    </w:p>
    <w:p w14:paraId="5177B290">
      <w:pPr>
        <w:jc w:val="both"/>
        <w:rPr>
          <w:rFonts w:hint="default"/>
          <w:b/>
          <w:bCs/>
          <w:lang w:val="en-US"/>
        </w:rPr>
      </w:pPr>
    </w:p>
    <w:p w14:paraId="0A87D9FC">
      <w:pPr>
        <w:jc w:val="both"/>
        <w:rPr>
          <w:rFonts w:hint="default"/>
          <w:b/>
          <w:bCs/>
          <w:lang w:val="en-US"/>
        </w:rPr>
      </w:pPr>
      <w:r>
        <w:rPr>
          <w:rFonts w:hint="default"/>
          <w:b/>
          <w:bCs/>
          <w:lang w:val="en-US"/>
        </w:rPr>
        <w:br w:type="textWrapping"/>
      </w:r>
      <w:r>
        <w:rPr>
          <w:rFonts w:hint="default"/>
          <w:b/>
          <w:bCs/>
          <w:lang w:val="en-US"/>
        </w:rPr>
        <w:br w:type="textWrapping"/>
      </w:r>
    </w:p>
    <w:p w14:paraId="4AF19B50">
      <w:pPr>
        <w:jc w:val="both"/>
        <w:rPr>
          <w:rFonts w:hint="default"/>
          <w:b/>
          <w:bCs/>
          <w:lang w:val="en-US"/>
        </w:rPr>
      </w:pPr>
    </w:p>
    <w:p w14:paraId="31E37474">
      <w:pPr>
        <w:jc w:val="both"/>
        <w:rPr>
          <w:rFonts w:hint="default"/>
          <w:b/>
          <w:bCs/>
          <w:lang w:val="en-US"/>
        </w:rPr>
      </w:pPr>
    </w:p>
    <w:p w14:paraId="44799D52">
      <w:pPr>
        <w:jc w:val="both"/>
        <w:rPr>
          <w:rFonts w:hint="default"/>
          <w:b/>
          <w:bCs/>
          <w:lang w:val="en-US"/>
        </w:rPr>
      </w:pPr>
    </w:p>
    <w:p w14:paraId="55A7920B">
      <w:pPr>
        <w:jc w:val="both"/>
        <w:rPr>
          <w:rFonts w:hint="default"/>
          <w:b/>
          <w:bCs/>
          <w:lang w:val="en-US"/>
        </w:rPr>
      </w:pPr>
    </w:p>
    <w:p w14:paraId="358E55E1">
      <w:pPr>
        <w:jc w:val="center"/>
        <w:rPr>
          <w:rFonts w:hint="default"/>
          <w:b/>
          <w:bCs/>
          <w:sz w:val="32"/>
          <w:szCs w:val="32"/>
          <w:lang w:val="en-US"/>
        </w:rPr>
      </w:pPr>
      <w:r>
        <w:rPr>
          <w:rFonts w:hint="default"/>
          <w:b/>
          <w:bCs/>
          <w:sz w:val="32"/>
          <w:szCs w:val="32"/>
          <w:lang w:val="en-US"/>
        </w:rPr>
        <w:t xml:space="preserve">Purpose of Currency for a Country and Its Uses: </w:t>
      </w:r>
    </w:p>
    <w:p w14:paraId="359D283C">
      <w:pPr>
        <w:jc w:val="center"/>
        <w:rPr>
          <w:rFonts w:hint="default"/>
          <w:b/>
          <w:bCs/>
          <w:sz w:val="32"/>
          <w:szCs w:val="32"/>
          <w:lang w:val="en-US"/>
        </w:rPr>
      </w:pPr>
      <w:r>
        <w:rPr>
          <w:rFonts w:hint="default"/>
          <w:b/>
          <w:bCs/>
          <w:sz w:val="32"/>
          <w:szCs w:val="32"/>
          <w:lang w:val="en-US"/>
        </w:rPr>
        <w:t>The Example of Syno Aurelius</w:t>
      </w:r>
    </w:p>
    <w:p w14:paraId="272DF725">
      <w:pPr>
        <w:jc w:val="both"/>
        <w:rPr>
          <w:rFonts w:hint="default"/>
          <w:lang w:val="en-US"/>
        </w:rPr>
      </w:pPr>
    </w:p>
    <w:p w14:paraId="0D4D4403">
      <w:pPr>
        <w:jc w:val="both"/>
        <w:rPr>
          <w:rFonts w:hint="default"/>
          <w:lang w:val="en-US"/>
        </w:rPr>
      </w:pPr>
      <w:r>
        <w:rPr>
          <w:rFonts w:hint="default"/>
          <w:lang w:val="en-US"/>
        </w:rPr>
        <w:t>Currency is a fundamental instrument for a country's economy, playing multiple roles in facilitating economic transactions, implementing monetary policy, and supporting national development.</w:t>
      </w:r>
    </w:p>
    <w:p w14:paraId="742F1448">
      <w:pPr>
        <w:jc w:val="both"/>
        <w:rPr>
          <w:rFonts w:hint="default"/>
          <w:lang w:val="en-US"/>
        </w:rPr>
      </w:pPr>
    </w:p>
    <w:p w14:paraId="6AE2D6FD">
      <w:pPr>
        <w:jc w:val="both"/>
        <w:rPr>
          <w:rFonts w:hint="default"/>
          <w:b/>
          <w:bCs/>
          <w:lang w:val="en-US"/>
        </w:rPr>
      </w:pPr>
      <w:r>
        <w:rPr>
          <w:rFonts w:hint="default"/>
          <w:b/>
          <w:bCs/>
          <w:lang w:val="en-US"/>
        </w:rPr>
        <w:t>1. Purpose of Currency for a Country</w:t>
      </w:r>
    </w:p>
    <w:p w14:paraId="28A58401">
      <w:pPr>
        <w:jc w:val="both"/>
        <w:rPr>
          <w:rFonts w:hint="default"/>
          <w:lang w:val="en-US"/>
        </w:rPr>
      </w:pPr>
      <w:r>
        <w:rPr>
          <w:rFonts w:hint="default"/>
          <w:lang w:val="en-US"/>
        </w:rPr>
        <w:t>Currency serves several critical purposes:</w:t>
      </w:r>
    </w:p>
    <w:p w14:paraId="3A0A215C">
      <w:pPr>
        <w:jc w:val="both"/>
        <w:rPr>
          <w:rFonts w:hint="default"/>
          <w:lang w:val="en-US"/>
        </w:rPr>
      </w:pPr>
    </w:p>
    <w:p w14:paraId="23818212">
      <w:pPr>
        <w:numPr>
          <w:ilvl w:val="0"/>
          <w:numId w:val="9"/>
        </w:numPr>
        <w:ind w:left="845" w:leftChars="0" w:hanging="425" w:firstLineChars="0"/>
        <w:jc w:val="both"/>
        <w:rPr>
          <w:rFonts w:hint="default"/>
          <w:lang w:val="en-US"/>
        </w:rPr>
      </w:pPr>
      <w:r>
        <w:rPr>
          <w:rFonts w:hint="default"/>
          <w:lang w:val="en-US"/>
        </w:rPr>
        <w:t xml:space="preserve">Medium of Exchange: </w:t>
      </w:r>
    </w:p>
    <w:p w14:paraId="4C4E246E">
      <w:pPr>
        <w:numPr>
          <w:ilvl w:val="0"/>
          <w:numId w:val="0"/>
        </w:numPr>
        <w:ind w:leftChars="0" w:firstLine="720" w:firstLineChars="0"/>
        <w:jc w:val="both"/>
        <w:rPr>
          <w:rFonts w:hint="default"/>
          <w:lang w:val="en-US"/>
        </w:rPr>
      </w:pPr>
      <w:r>
        <w:rPr>
          <w:rFonts w:hint="default"/>
          <w:lang w:val="en-US"/>
        </w:rPr>
        <w:t xml:space="preserve">It enables the buying and selling of goods and services, reducing the inefficiencies of barter </w:t>
      </w:r>
      <w:r>
        <w:rPr>
          <w:rFonts w:hint="default"/>
          <w:lang w:val="en-US"/>
        </w:rPr>
        <w:tab/>
      </w:r>
      <w:r>
        <w:rPr>
          <w:rFonts w:hint="default"/>
          <w:lang w:val="en-US"/>
        </w:rPr>
        <w:t>trade.</w:t>
      </w:r>
    </w:p>
    <w:p w14:paraId="104E5F9A">
      <w:pPr>
        <w:jc w:val="both"/>
        <w:rPr>
          <w:rFonts w:hint="default"/>
          <w:lang w:val="en-US"/>
        </w:rPr>
      </w:pPr>
    </w:p>
    <w:p w14:paraId="2CD4F17C">
      <w:pPr>
        <w:numPr>
          <w:ilvl w:val="0"/>
          <w:numId w:val="9"/>
        </w:numPr>
        <w:ind w:left="845" w:leftChars="0" w:hanging="425" w:firstLineChars="0"/>
        <w:jc w:val="both"/>
        <w:rPr>
          <w:rFonts w:hint="default"/>
          <w:lang w:val="en-US"/>
        </w:rPr>
      </w:pPr>
      <w:r>
        <w:rPr>
          <w:rFonts w:hint="default"/>
          <w:lang w:val="en-US"/>
        </w:rPr>
        <w:t xml:space="preserve">Store of Value: </w:t>
      </w:r>
    </w:p>
    <w:p w14:paraId="5D96C4A3">
      <w:pPr>
        <w:numPr>
          <w:ilvl w:val="0"/>
          <w:numId w:val="0"/>
        </w:numPr>
        <w:ind w:leftChars="0" w:firstLine="720" w:firstLineChars="0"/>
        <w:jc w:val="both"/>
        <w:rPr>
          <w:rFonts w:hint="default"/>
          <w:lang w:val="en-US"/>
        </w:rPr>
      </w:pPr>
      <w:r>
        <w:rPr>
          <w:rFonts w:hint="default"/>
          <w:lang w:val="en-US"/>
        </w:rPr>
        <w:t xml:space="preserve">Currency preserves value over time, allowing individuals and institutions to save wealth for </w:t>
      </w:r>
      <w:r>
        <w:rPr>
          <w:rFonts w:hint="default"/>
          <w:lang w:val="en-US"/>
        </w:rPr>
        <w:tab/>
      </w:r>
      <w:r>
        <w:rPr>
          <w:rFonts w:hint="default"/>
          <w:lang w:val="en-US"/>
        </w:rPr>
        <w:t>future use.</w:t>
      </w:r>
    </w:p>
    <w:p w14:paraId="6ADEAB1F">
      <w:pPr>
        <w:jc w:val="both"/>
        <w:rPr>
          <w:rFonts w:hint="default"/>
          <w:lang w:val="en-US"/>
        </w:rPr>
      </w:pPr>
    </w:p>
    <w:p w14:paraId="38325B2C">
      <w:pPr>
        <w:numPr>
          <w:ilvl w:val="0"/>
          <w:numId w:val="9"/>
        </w:numPr>
        <w:ind w:left="845" w:leftChars="0" w:hanging="425" w:firstLineChars="0"/>
        <w:jc w:val="both"/>
        <w:rPr>
          <w:rFonts w:hint="default"/>
          <w:lang w:val="en-US"/>
        </w:rPr>
      </w:pPr>
      <w:r>
        <w:rPr>
          <w:rFonts w:hint="default"/>
          <w:lang w:val="en-US"/>
        </w:rPr>
        <w:t xml:space="preserve">Unit of Account: </w:t>
      </w:r>
    </w:p>
    <w:p w14:paraId="48E7E22B">
      <w:pPr>
        <w:numPr>
          <w:ilvl w:val="0"/>
          <w:numId w:val="0"/>
        </w:numPr>
        <w:ind w:leftChars="0" w:firstLine="720" w:firstLineChars="0"/>
        <w:jc w:val="both"/>
        <w:rPr>
          <w:rFonts w:hint="default"/>
          <w:lang w:val="en-US"/>
        </w:rPr>
      </w:pPr>
      <w:r>
        <w:rPr>
          <w:rFonts w:hint="default"/>
          <w:lang w:val="en-US"/>
        </w:rPr>
        <w:t xml:space="preserve">It provides a standard measure for pricing goods and services, ensuring comparability of </w:t>
      </w:r>
      <w:r>
        <w:rPr>
          <w:rFonts w:hint="default"/>
          <w:lang w:val="en-US"/>
        </w:rPr>
        <w:tab/>
      </w:r>
      <w:r>
        <w:rPr>
          <w:rFonts w:hint="default"/>
          <w:lang w:val="en-US"/>
        </w:rPr>
        <w:t>economic values.</w:t>
      </w:r>
    </w:p>
    <w:p w14:paraId="22D1A3FB">
      <w:pPr>
        <w:jc w:val="both"/>
        <w:rPr>
          <w:rFonts w:hint="default"/>
          <w:lang w:val="en-US"/>
        </w:rPr>
      </w:pPr>
    </w:p>
    <w:p w14:paraId="45D58F9F">
      <w:pPr>
        <w:numPr>
          <w:ilvl w:val="0"/>
          <w:numId w:val="9"/>
        </w:numPr>
        <w:ind w:left="845" w:leftChars="0" w:hanging="425" w:firstLineChars="0"/>
        <w:jc w:val="both"/>
        <w:rPr>
          <w:rFonts w:hint="default"/>
          <w:lang w:val="en-US"/>
        </w:rPr>
      </w:pPr>
      <w:r>
        <w:rPr>
          <w:rFonts w:hint="default"/>
          <w:lang w:val="en-US"/>
        </w:rPr>
        <w:t>Standard of Deferred Payment:</w:t>
      </w:r>
    </w:p>
    <w:p w14:paraId="0BADD1EF">
      <w:pPr>
        <w:numPr>
          <w:ilvl w:val="0"/>
          <w:numId w:val="0"/>
        </w:numPr>
        <w:ind w:leftChars="0" w:firstLine="720" w:firstLineChars="0"/>
        <w:jc w:val="both"/>
        <w:rPr>
          <w:rFonts w:hint="default"/>
          <w:lang w:val="en-US"/>
        </w:rPr>
      </w:pPr>
      <w:r>
        <w:rPr>
          <w:rFonts w:hint="default"/>
          <w:lang w:val="en-US"/>
        </w:rPr>
        <w:t>Currency is used for credit transactions, enabling deferred payments and financial contracts.</w:t>
      </w:r>
    </w:p>
    <w:p w14:paraId="51353479">
      <w:pPr>
        <w:jc w:val="both"/>
        <w:rPr>
          <w:rFonts w:hint="default"/>
          <w:lang w:val="en-US"/>
        </w:rPr>
      </w:pPr>
    </w:p>
    <w:p w14:paraId="7F5F0B78">
      <w:pPr>
        <w:numPr>
          <w:ilvl w:val="0"/>
          <w:numId w:val="9"/>
        </w:numPr>
        <w:ind w:left="845" w:leftChars="0" w:hanging="425" w:firstLineChars="0"/>
        <w:jc w:val="both"/>
        <w:rPr>
          <w:rFonts w:hint="default"/>
          <w:lang w:val="en-US"/>
        </w:rPr>
      </w:pPr>
      <w:r>
        <w:rPr>
          <w:rFonts w:hint="default"/>
          <w:lang w:val="en-US"/>
        </w:rPr>
        <w:t xml:space="preserve">Policy Instrument: </w:t>
      </w:r>
    </w:p>
    <w:p w14:paraId="6FBA4ACA">
      <w:pPr>
        <w:numPr>
          <w:ilvl w:val="0"/>
          <w:numId w:val="0"/>
        </w:numPr>
        <w:ind w:leftChars="0" w:firstLine="720" w:firstLineChars="0"/>
        <w:jc w:val="both"/>
        <w:rPr>
          <w:rFonts w:hint="default"/>
          <w:lang w:val="en-US"/>
        </w:rPr>
      </w:pPr>
      <w:r>
        <w:rPr>
          <w:rFonts w:hint="default"/>
          <w:lang w:val="en-US"/>
        </w:rPr>
        <w:t xml:space="preserve">Central banks and governments use currency to manage monetary policy, control inflation, </w:t>
      </w:r>
      <w:r>
        <w:rPr>
          <w:rFonts w:hint="default"/>
          <w:lang w:val="en-US"/>
        </w:rPr>
        <w:tab/>
      </w:r>
      <w:r>
        <w:rPr>
          <w:rFonts w:hint="default"/>
          <w:lang w:val="en-US"/>
        </w:rPr>
        <w:t>influence interest rates, and stabilize the economy.</w:t>
      </w:r>
    </w:p>
    <w:p w14:paraId="33808DEE">
      <w:pPr>
        <w:jc w:val="both"/>
        <w:rPr>
          <w:rFonts w:hint="default"/>
          <w:lang w:val="en-US"/>
        </w:rPr>
      </w:pPr>
    </w:p>
    <w:p w14:paraId="2C5ACF2B">
      <w:pPr>
        <w:jc w:val="both"/>
        <w:rPr>
          <w:rFonts w:hint="default"/>
          <w:lang w:val="en-US"/>
        </w:rPr>
      </w:pPr>
      <w:r>
        <w:rPr>
          <w:rFonts w:hint="default"/>
          <w:lang w:val="en-US"/>
        </w:rPr>
        <w:t>2. Uses of Currency</w:t>
      </w:r>
    </w:p>
    <w:p w14:paraId="0CECA523">
      <w:pPr>
        <w:jc w:val="both"/>
        <w:rPr>
          <w:rFonts w:hint="default"/>
          <w:lang w:val="en-US"/>
        </w:rPr>
      </w:pPr>
      <w:r>
        <w:rPr>
          <w:rFonts w:hint="default"/>
          <w:lang w:val="en-US"/>
        </w:rPr>
        <w:t>Currency is versatile and can be used for:</w:t>
      </w:r>
    </w:p>
    <w:p w14:paraId="2A2E1780">
      <w:pPr>
        <w:jc w:val="both"/>
        <w:rPr>
          <w:rFonts w:hint="default"/>
          <w:lang w:val="en-US"/>
        </w:rPr>
      </w:pPr>
    </w:p>
    <w:p w14:paraId="5085001F">
      <w:pPr>
        <w:numPr>
          <w:ilvl w:val="0"/>
          <w:numId w:val="10"/>
        </w:numPr>
        <w:ind w:left="845" w:leftChars="0" w:hanging="425" w:firstLineChars="0"/>
        <w:jc w:val="both"/>
        <w:rPr>
          <w:rFonts w:hint="default"/>
          <w:lang w:val="en-US"/>
        </w:rPr>
      </w:pPr>
      <w:r>
        <w:rPr>
          <w:rFonts w:hint="default"/>
          <w:lang w:val="en-US"/>
        </w:rPr>
        <w:t xml:space="preserve">Domestic Transactions: </w:t>
      </w:r>
    </w:p>
    <w:p w14:paraId="1E18AABD">
      <w:pPr>
        <w:numPr>
          <w:ilvl w:val="0"/>
          <w:numId w:val="0"/>
        </w:numPr>
        <w:ind w:leftChars="0" w:firstLine="720" w:firstLineChars="0"/>
        <w:jc w:val="both"/>
        <w:rPr>
          <w:rFonts w:hint="default"/>
          <w:lang w:val="en-US"/>
        </w:rPr>
      </w:pPr>
      <w:r>
        <w:rPr>
          <w:rFonts w:hint="default"/>
          <w:lang w:val="en-US"/>
        </w:rPr>
        <w:t>Facilitating everyday purchases and business exchanges.</w:t>
      </w:r>
    </w:p>
    <w:p w14:paraId="4C0E79D0">
      <w:pPr>
        <w:jc w:val="both"/>
        <w:rPr>
          <w:rFonts w:hint="default"/>
          <w:lang w:val="en-US"/>
        </w:rPr>
      </w:pPr>
    </w:p>
    <w:p w14:paraId="0CA28706">
      <w:pPr>
        <w:numPr>
          <w:ilvl w:val="0"/>
          <w:numId w:val="10"/>
        </w:numPr>
        <w:ind w:left="845" w:leftChars="0" w:hanging="425" w:firstLineChars="0"/>
        <w:jc w:val="both"/>
        <w:rPr>
          <w:rFonts w:hint="default"/>
          <w:lang w:val="en-US"/>
        </w:rPr>
      </w:pPr>
      <w:r>
        <w:rPr>
          <w:rFonts w:hint="default"/>
          <w:lang w:val="en-US"/>
        </w:rPr>
        <w:t xml:space="preserve">International Trade: </w:t>
      </w:r>
    </w:p>
    <w:p w14:paraId="50C3EF90">
      <w:pPr>
        <w:numPr>
          <w:ilvl w:val="0"/>
          <w:numId w:val="0"/>
        </w:numPr>
        <w:ind w:leftChars="0" w:firstLine="720" w:firstLineChars="0"/>
        <w:jc w:val="both"/>
        <w:rPr>
          <w:rFonts w:hint="default"/>
          <w:lang w:val="en-US"/>
        </w:rPr>
      </w:pPr>
      <w:r>
        <w:rPr>
          <w:rFonts w:hint="default"/>
          <w:lang w:val="en-US"/>
        </w:rPr>
        <w:t>Engaging in foreign trade by converting to and from other currencies.</w:t>
      </w:r>
    </w:p>
    <w:p w14:paraId="7C4FAAD0">
      <w:pPr>
        <w:jc w:val="both"/>
        <w:rPr>
          <w:rFonts w:hint="default"/>
          <w:lang w:val="en-US"/>
        </w:rPr>
      </w:pPr>
    </w:p>
    <w:p w14:paraId="487F39FD">
      <w:pPr>
        <w:numPr>
          <w:ilvl w:val="0"/>
          <w:numId w:val="10"/>
        </w:numPr>
        <w:ind w:left="845" w:leftChars="0" w:hanging="425" w:firstLineChars="0"/>
        <w:jc w:val="both"/>
        <w:rPr>
          <w:rFonts w:hint="default"/>
          <w:lang w:val="en-US"/>
        </w:rPr>
      </w:pPr>
      <w:r>
        <w:rPr>
          <w:rFonts w:hint="default"/>
          <w:lang w:val="en-US"/>
        </w:rPr>
        <w:t xml:space="preserve">Capitalization of State-Owned Enterprises: </w:t>
      </w:r>
    </w:p>
    <w:p w14:paraId="4C352AC2">
      <w:pPr>
        <w:numPr>
          <w:ilvl w:val="0"/>
          <w:numId w:val="0"/>
        </w:numPr>
        <w:ind w:leftChars="0" w:firstLine="720" w:firstLineChars="0"/>
        <w:jc w:val="both"/>
        <w:rPr>
          <w:rFonts w:hint="default"/>
          <w:lang w:val="en-US"/>
        </w:rPr>
      </w:pPr>
      <w:r>
        <w:rPr>
          <w:rFonts w:hint="default"/>
          <w:lang w:val="en-US"/>
        </w:rPr>
        <w:t>Governments can use currency to provide capital to public institutions.</w:t>
      </w:r>
    </w:p>
    <w:p w14:paraId="3A4101F2">
      <w:pPr>
        <w:jc w:val="both"/>
        <w:rPr>
          <w:rFonts w:hint="default"/>
          <w:lang w:val="en-US"/>
        </w:rPr>
      </w:pPr>
    </w:p>
    <w:p w14:paraId="4CF2664B">
      <w:pPr>
        <w:numPr>
          <w:ilvl w:val="0"/>
          <w:numId w:val="10"/>
        </w:numPr>
        <w:ind w:left="845" w:leftChars="0" w:hanging="425" w:firstLineChars="0"/>
        <w:jc w:val="both"/>
        <w:rPr>
          <w:rFonts w:hint="default"/>
          <w:lang w:val="en-US"/>
        </w:rPr>
      </w:pPr>
      <w:r>
        <w:rPr>
          <w:rFonts w:hint="default"/>
          <w:lang w:val="en-US"/>
        </w:rPr>
        <w:t xml:space="preserve">Public Spending: </w:t>
      </w:r>
    </w:p>
    <w:p w14:paraId="4752F757">
      <w:pPr>
        <w:numPr>
          <w:ilvl w:val="0"/>
          <w:numId w:val="0"/>
        </w:numPr>
        <w:ind w:leftChars="0" w:firstLine="720" w:firstLineChars="0"/>
        <w:jc w:val="both"/>
        <w:rPr>
          <w:rFonts w:hint="default"/>
          <w:lang w:val="en-US"/>
        </w:rPr>
      </w:pPr>
      <w:r>
        <w:rPr>
          <w:rFonts w:hint="default"/>
          <w:lang w:val="en-US"/>
        </w:rPr>
        <w:t>Funding infrastructure, healthcare, education, and public services.</w:t>
      </w:r>
    </w:p>
    <w:p w14:paraId="347EE20D">
      <w:pPr>
        <w:jc w:val="both"/>
        <w:rPr>
          <w:rFonts w:hint="default"/>
          <w:lang w:val="en-US"/>
        </w:rPr>
      </w:pPr>
    </w:p>
    <w:p w14:paraId="01FAAB9E">
      <w:pPr>
        <w:numPr>
          <w:ilvl w:val="0"/>
          <w:numId w:val="10"/>
        </w:numPr>
        <w:ind w:left="845" w:leftChars="0" w:hanging="425" w:firstLineChars="0"/>
        <w:jc w:val="both"/>
        <w:rPr>
          <w:rFonts w:hint="default"/>
          <w:lang w:val="en-US"/>
        </w:rPr>
      </w:pPr>
      <w:r>
        <w:rPr>
          <w:rFonts w:hint="default"/>
          <w:lang w:val="en-US"/>
        </w:rPr>
        <w:t>Savings and Investments:</w:t>
      </w:r>
    </w:p>
    <w:p w14:paraId="67971606">
      <w:pPr>
        <w:numPr>
          <w:ilvl w:val="0"/>
          <w:numId w:val="0"/>
        </w:numPr>
        <w:ind w:leftChars="0" w:firstLine="720" w:firstLineChars="0"/>
        <w:jc w:val="both"/>
        <w:rPr>
          <w:rFonts w:hint="default"/>
          <w:lang w:val="en-US"/>
        </w:rPr>
      </w:pPr>
      <w:r>
        <w:rPr>
          <w:rFonts w:hint="default"/>
          <w:lang w:val="en-US"/>
        </w:rPr>
        <w:t>Individuals and businesses save in cash or invest in financial assets.</w:t>
      </w:r>
    </w:p>
    <w:p w14:paraId="48ADA6EA">
      <w:pPr>
        <w:jc w:val="both"/>
        <w:rPr>
          <w:rFonts w:hint="default"/>
          <w:lang w:val="en-US"/>
        </w:rPr>
      </w:pPr>
    </w:p>
    <w:p w14:paraId="6A98A3CE">
      <w:pPr>
        <w:numPr>
          <w:ilvl w:val="0"/>
          <w:numId w:val="10"/>
        </w:numPr>
        <w:ind w:left="845" w:leftChars="0" w:hanging="425" w:firstLineChars="0"/>
        <w:jc w:val="both"/>
        <w:rPr>
          <w:rFonts w:hint="default"/>
          <w:lang w:val="en-US"/>
        </w:rPr>
      </w:pPr>
      <w:r>
        <w:rPr>
          <w:rFonts w:hint="default"/>
          <w:lang w:val="en-US"/>
        </w:rPr>
        <w:t xml:space="preserve">Debt Settlement: </w:t>
      </w:r>
    </w:p>
    <w:p w14:paraId="144B71AE">
      <w:pPr>
        <w:numPr>
          <w:ilvl w:val="0"/>
          <w:numId w:val="0"/>
        </w:numPr>
        <w:ind w:leftChars="0" w:firstLine="720" w:firstLineChars="0"/>
        <w:jc w:val="both"/>
        <w:rPr>
          <w:rFonts w:hint="default"/>
          <w:lang w:val="en-US"/>
        </w:rPr>
      </w:pPr>
      <w:r>
        <w:rPr>
          <w:rFonts w:hint="default"/>
          <w:lang w:val="en-US"/>
        </w:rPr>
        <w:t>Paying off national and international debts.</w:t>
      </w:r>
    </w:p>
    <w:p w14:paraId="0F718A7D">
      <w:pPr>
        <w:jc w:val="both"/>
        <w:rPr>
          <w:rFonts w:hint="default"/>
          <w:lang w:val="en-US"/>
        </w:rPr>
      </w:pPr>
      <w:r>
        <w:rPr>
          <w:rFonts w:hint="default"/>
          <w:lang w:val="en-US"/>
        </w:rPr>
        <w:br w:type="textWrapping"/>
      </w:r>
      <w:r>
        <w:rPr>
          <w:rFonts w:hint="default"/>
          <w:lang w:val="en-US"/>
        </w:rPr>
        <w:br w:type="textWrapping"/>
      </w:r>
      <w:r>
        <w:rPr>
          <w:rFonts w:hint="default"/>
          <w:lang w:val="en-US"/>
        </w:rPr>
        <w:br w:type="textWrapping"/>
      </w:r>
      <w:r>
        <w:rPr>
          <w:rFonts w:hint="default"/>
          <w:lang w:val="en-US"/>
        </w:rPr>
        <w:br w:type="textWrapping"/>
      </w:r>
      <w:r>
        <w:rPr>
          <w:rFonts w:hint="default"/>
          <w:lang w:val="en-US"/>
        </w:rPr>
        <w:br w:type="textWrapping"/>
      </w:r>
      <w:r>
        <w:rPr>
          <w:rFonts w:hint="default"/>
          <w:lang w:val="en-US"/>
        </w:rPr>
        <w:br w:type="textWrapping"/>
      </w:r>
    </w:p>
    <w:p w14:paraId="6020E055">
      <w:pPr>
        <w:jc w:val="both"/>
        <w:rPr>
          <w:rFonts w:hint="default"/>
          <w:lang w:val="en-US"/>
        </w:rPr>
      </w:pPr>
    </w:p>
    <w:p w14:paraId="619A4F0F">
      <w:pPr>
        <w:jc w:val="both"/>
        <w:rPr>
          <w:rFonts w:hint="default"/>
          <w:b/>
          <w:bCs/>
          <w:lang w:val="en-US"/>
        </w:rPr>
      </w:pPr>
      <w:r>
        <w:rPr>
          <w:rFonts w:hint="default"/>
          <w:b/>
          <w:bCs/>
          <w:lang w:val="en-US"/>
        </w:rPr>
        <w:t>3. Currency in Fund Transfers: Formats and Methods</w:t>
      </w:r>
    </w:p>
    <w:p w14:paraId="41CA5AEB">
      <w:pPr>
        <w:jc w:val="both"/>
        <w:rPr>
          <w:rFonts w:hint="default"/>
          <w:lang w:val="en-US"/>
        </w:rPr>
      </w:pPr>
      <w:r>
        <w:rPr>
          <w:rFonts w:hint="default"/>
          <w:lang w:val="en-US"/>
        </w:rPr>
        <w:t>Currency can be transferred in various formats:</w:t>
      </w:r>
    </w:p>
    <w:p w14:paraId="1207DB6E">
      <w:pPr>
        <w:jc w:val="both"/>
        <w:rPr>
          <w:rFonts w:hint="default"/>
          <w:lang w:val="en-US"/>
        </w:rPr>
      </w:pPr>
    </w:p>
    <w:p w14:paraId="382D8F9C">
      <w:pPr>
        <w:jc w:val="both"/>
        <w:rPr>
          <w:rFonts w:hint="default"/>
          <w:lang w:val="en-US"/>
        </w:rPr>
      </w:pPr>
      <w:r>
        <w:rPr>
          <w:rFonts w:hint="default"/>
          <w:lang w:val="en-US"/>
        </w:rPr>
        <w:t>a. Physical Formats:</w:t>
      </w:r>
    </w:p>
    <w:p w14:paraId="1C5D3609">
      <w:pPr>
        <w:jc w:val="both"/>
        <w:rPr>
          <w:rFonts w:hint="default"/>
          <w:lang w:val="en-US"/>
        </w:rPr>
      </w:pPr>
      <w:r>
        <w:rPr>
          <w:rFonts w:hint="default"/>
          <w:lang w:val="en-US"/>
        </w:rPr>
        <w:t>Cash: Notes and coins.</w:t>
      </w:r>
    </w:p>
    <w:p w14:paraId="77E14EA6">
      <w:pPr>
        <w:jc w:val="both"/>
        <w:rPr>
          <w:rFonts w:hint="default"/>
          <w:lang w:val="en-US"/>
        </w:rPr>
      </w:pPr>
    </w:p>
    <w:p w14:paraId="35FAC8AD">
      <w:pPr>
        <w:jc w:val="both"/>
        <w:rPr>
          <w:rFonts w:hint="default"/>
          <w:lang w:val="en-US"/>
        </w:rPr>
      </w:pPr>
      <w:r>
        <w:rPr>
          <w:rFonts w:hint="default"/>
          <w:lang w:val="en-US"/>
        </w:rPr>
        <w:t>Cheques:</w:t>
      </w:r>
    </w:p>
    <w:p w14:paraId="7D9BC626">
      <w:pPr>
        <w:jc w:val="both"/>
        <w:rPr>
          <w:rFonts w:hint="default"/>
          <w:lang w:val="en-US"/>
        </w:rPr>
      </w:pPr>
      <w:r>
        <w:rPr>
          <w:rFonts w:hint="default"/>
          <w:lang w:val="en-US"/>
        </w:rPr>
        <w:t xml:space="preserve"> Bank-issued instruments for specific payments.</w:t>
      </w:r>
    </w:p>
    <w:p w14:paraId="38778BD2">
      <w:pPr>
        <w:jc w:val="both"/>
        <w:rPr>
          <w:rFonts w:hint="default"/>
          <w:lang w:val="en-US"/>
        </w:rPr>
      </w:pPr>
    </w:p>
    <w:p w14:paraId="2B9A6BCE">
      <w:pPr>
        <w:jc w:val="both"/>
        <w:rPr>
          <w:rFonts w:hint="default"/>
          <w:lang w:val="en-US"/>
        </w:rPr>
      </w:pPr>
    </w:p>
    <w:p w14:paraId="3849C799">
      <w:pPr>
        <w:jc w:val="both"/>
        <w:rPr>
          <w:rFonts w:hint="default"/>
          <w:lang w:val="en-US"/>
        </w:rPr>
      </w:pPr>
      <w:r>
        <w:rPr>
          <w:rFonts w:hint="default"/>
          <w:lang w:val="en-US"/>
        </w:rPr>
        <w:t>b. Digital/Electronic Formats:</w:t>
      </w:r>
    </w:p>
    <w:p w14:paraId="10494744">
      <w:pPr>
        <w:jc w:val="both"/>
        <w:rPr>
          <w:rFonts w:hint="default"/>
          <w:lang w:val="en-US"/>
        </w:rPr>
      </w:pPr>
      <w:r>
        <w:rPr>
          <w:rFonts w:hint="default"/>
          <w:lang w:val="en-US"/>
        </w:rPr>
        <w:t xml:space="preserve">Bank Transfers: </w:t>
      </w:r>
    </w:p>
    <w:p w14:paraId="4ED6FEAE">
      <w:pPr>
        <w:jc w:val="both"/>
        <w:rPr>
          <w:rFonts w:hint="default"/>
          <w:lang w:val="en-US"/>
        </w:rPr>
      </w:pPr>
      <w:r>
        <w:rPr>
          <w:rFonts w:hint="default"/>
          <w:lang w:val="en-US"/>
        </w:rPr>
        <w:t>Through systems like SWIFT, ACH, and RTGS.</w:t>
      </w:r>
    </w:p>
    <w:p w14:paraId="1278A130">
      <w:pPr>
        <w:jc w:val="both"/>
        <w:rPr>
          <w:rFonts w:hint="default"/>
          <w:lang w:val="en-US"/>
        </w:rPr>
      </w:pPr>
    </w:p>
    <w:p w14:paraId="0CAB0174">
      <w:pPr>
        <w:jc w:val="both"/>
        <w:rPr>
          <w:rFonts w:hint="default"/>
          <w:lang w:val="en-US"/>
        </w:rPr>
      </w:pPr>
      <w:r>
        <w:rPr>
          <w:rFonts w:hint="default"/>
          <w:lang w:val="en-US"/>
        </w:rPr>
        <w:t xml:space="preserve">Payment Apps: </w:t>
      </w:r>
    </w:p>
    <w:p w14:paraId="6CC0E9C0">
      <w:pPr>
        <w:jc w:val="both"/>
        <w:rPr>
          <w:rFonts w:hint="default"/>
          <w:lang w:val="en-US"/>
        </w:rPr>
      </w:pPr>
      <w:r>
        <w:rPr>
          <w:rFonts w:hint="default"/>
          <w:lang w:val="en-US"/>
        </w:rPr>
        <w:t>Via digital wallets and mobile payment platforms.</w:t>
      </w:r>
    </w:p>
    <w:p w14:paraId="09C53651">
      <w:pPr>
        <w:jc w:val="both"/>
        <w:rPr>
          <w:rFonts w:hint="default"/>
          <w:lang w:val="en-US"/>
        </w:rPr>
      </w:pPr>
    </w:p>
    <w:p w14:paraId="15F33141">
      <w:pPr>
        <w:jc w:val="both"/>
        <w:rPr>
          <w:rFonts w:hint="default"/>
          <w:lang w:val="en-US"/>
        </w:rPr>
      </w:pPr>
      <w:r>
        <w:rPr>
          <w:rFonts w:hint="default"/>
          <w:lang w:val="en-US"/>
        </w:rPr>
        <w:t xml:space="preserve">Cryptocurrencies: </w:t>
      </w:r>
    </w:p>
    <w:p w14:paraId="5D92A424">
      <w:pPr>
        <w:jc w:val="both"/>
        <w:rPr>
          <w:rFonts w:hint="default"/>
          <w:lang w:val="en-US"/>
        </w:rPr>
      </w:pPr>
      <w:r>
        <w:rPr>
          <w:rFonts w:hint="default"/>
          <w:lang w:val="en-US"/>
        </w:rPr>
        <w:t>Including decentralized digital currencies and Central Bank Digital Currencies (CBDCs).</w:t>
      </w:r>
    </w:p>
    <w:p w14:paraId="26FD788B">
      <w:pPr>
        <w:jc w:val="both"/>
        <w:rPr>
          <w:rFonts w:hint="default"/>
          <w:lang w:val="en-US"/>
        </w:rPr>
      </w:pPr>
    </w:p>
    <w:p w14:paraId="1302CE65">
      <w:pPr>
        <w:jc w:val="both"/>
        <w:rPr>
          <w:rFonts w:hint="default"/>
          <w:lang w:val="en-US"/>
        </w:rPr>
      </w:pPr>
    </w:p>
    <w:p w14:paraId="230A3F41">
      <w:pPr>
        <w:jc w:val="both"/>
        <w:rPr>
          <w:rFonts w:hint="default"/>
          <w:lang w:val="en-US"/>
        </w:rPr>
      </w:pPr>
      <w:r>
        <w:rPr>
          <w:rFonts w:hint="default"/>
          <w:lang w:val="en-US"/>
        </w:rPr>
        <w:t>c. International Transfers:</w:t>
      </w:r>
    </w:p>
    <w:p w14:paraId="1A135E4B">
      <w:pPr>
        <w:jc w:val="both"/>
        <w:rPr>
          <w:rFonts w:hint="default"/>
          <w:lang w:val="en-US"/>
        </w:rPr>
      </w:pPr>
      <w:r>
        <w:rPr>
          <w:rFonts w:hint="default"/>
          <w:lang w:val="en-US"/>
        </w:rPr>
        <w:t>Standardized formats for cross-border payments.</w:t>
      </w:r>
    </w:p>
    <w:p w14:paraId="1F0AE136">
      <w:pPr>
        <w:jc w:val="both"/>
        <w:rPr>
          <w:rFonts w:hint="default"/>
          <w:lang w:val="en-US"/>
        </w:rPr>
      </w:pPr>
    </w:p>
    <w:p w14:paraId="27E5A879">
      <w:pPr>
        <w:jc w:val="both"/>
        <w:rPr>
          <w:rFonts w:hint="default"/>
          <w:lang w:val="en-US"/>
        </w:rPr>
      </w:pPr>
      <w:r>
        <w:rPr>
          <w:rFonts w:hint="default"/>
          <w:lang w:val="en-US"/>
        </w:rPr>
        <w:t xml:space="preserve">Foreign Exchange (Forex): </w:t>
      </w:r>
    </w:p>
    <w:p w14:paraId="08443045">
      <w:pPr>
        <w:jc w:val="both"/>
        <w:rPr>
          <w:rFonts w:hint="default"/>
          <w:lang w:val="en-US"/>
        </w:rPr>
      </w:pPr>
      <w:r>
        <w:rPr>
          <w:rFonts w:hint="default"/>
          <w:lang w:val="en-US"/>
        </w:rPr>
        <w:t>Conversion and transfer of different currencies.</w:t>
      </w:r>
    </w:p>
    <w:p w14:paraId="528CEDD8">
      <w:pPr>
        <w:jc w:val="both"/>
        <w:rPr>
          <w:rFonts w:hint="default"/>
          <w:lang w:val="en-US"/>
        </w:rPr>
      </w:pPr>
    </w:p>
    <w:p w14:paraId="142D4DBD">
      <w:pPr>
        <w:jc w:val="both"/>
        <w:rPr>
          <w:rFonts w:hint="default"/>
          <w:lang w:val="en-US"/>
        </w:rPr>
      </w:pPr>
      <w:r>
        <w:rPr>
          <w:rFonts w:hint="default"/>
          <w:lang w:val="en-US"/>
        </w:rPr>
        <w:t>d. Financial Instruments:</w:t>
      </w:r>
    </w:p>
    <w:p w14:paraId="350BEBFD">
      <w:pPr>
        <w:jc w:val="both"/>
        <w:rPr>
          <w:rFonts w:hint="default"/>
          <w:lang w:val="en-US"/>
        </w:rPr>
      </w:pPr>
      <w:r>
        <w:rPr>
          <w:rFonts w:hint="default"/>
          <w:lang w:val="en-US"/>
        </w:rPr>
        <w:t>Securities and Bonds: Tradable instruments denominated in currency.</w:t>
      </w:r>
    </w:p>
    <w:p w14:paraId="00FA69D5">
      <w:pPr>
        <w:jc w:val="both"/>
        <w:rPr>
          <w:rFonts w:hint="default"/>
          <w:lang w:val="en-US"/>
        </w:rPr>
      </w:pPr>
      <w:r>
        <w:rPr>
          <w:rFonts w:hint="default"/>
          <w:lang w:val="en-US"/>
        </w:rPr>
        <w:t>Letters of Credit: Guaranteeing payment in international trade.</w:t>
      </w:r>
    </w:p>
    <w:p w14:paraId="633D355D">
      <w:pPr>
        <w:jc w:val="both"/>
        <w:rPr>
          <w:rFonts w:hint="default"/>
          <w:lang w:val="en-US"/>
        </w:rPr>
      </w:pPr>
    </w:p>
    <w:p w14:paraId="081CF220">
      <w:pPr>
        <w:jc w:val="both"/>
        <w:rPr>
          <w:rFonts w:hint="default"/>
          <w:lang w:val="en-US"/>
        </w:rPr>
      </w:pPr>
    </w:p>
    <w:p w14:paraId="2C49545C">
      <w:pPr>
        <w:jc w:val="both"/>
        <w:rPr>
          <w:rFonts w:hint="default"/>
          <w:lang w:val="en-US"/>
        </w:rPr>
      </w:pPr>
    </w:p>
    <w:p w14:paraId="4C5B7918">
      <w:pPr>
        <w:jc w:val="both"/>
        <w:rPr>
          <w:rFonts w:hint="default"/>
          <w:b/>
          <w:bCs/>
          <w:lang w:val="en-US"/>
        </w:rPr>
      </w:pPr>
      <w:r>
        <w:rPr>
          <w:rFonts w:hint="default"/>
          <w:b/>
          <w:bCs/>
          <w:lang w:val="en-US"/>
        </w:rPr>
        <w:t>4. Example: Syno Aurelius' Currency Issuance and Economic Strategy</w:t>
      </w:r>
    </w:p>
    <w:p w14:paraId="4EE4BFBA">
      <w:pPr>
        <w:jc w:val="both"/>
        <w:rPr>
          <w:rFonts w:hint="default"/>
          <w:lang w:val="en-US"/>
        </w:rPr>
      </w:pPr>
      <w:r>
        <w:rPr>
          <w:rFonts w:hint="default"/>
          <w:lang w:val="en-US"/>
        </w:rPr>
        <w:t xml:space="preserve">The Constitutional Monarchy of Syno Aurelius exemplifies the strategic use of currency as a sovereign right. </w:t>
      </w:r>
    </w:p>
    <w:p w14:paraId="760294C3">
      <w:pPr>
        <w:jc w:val="both"/>
        <w:rPr>
          <w:rFonts w:hint="default"/>
          <w:lang w:val="en-US"/>
        </w:rPr>
      </w:pPr>
    </w:p>
    <w:p w14:paraId="555AD43D">
      <w:pPr>
        <w:jc w:val="both"/>
        <w:rPr>
          <w:rFonts w:hint="default"/>
          <w:lang w:val="en-US"/>
        </w:rPr>
      </w:pPr>
      <w:r>
        <w:rPr>
          <w:rFonts w:hint="default"/>
          <w:lang w:val="en-US"/>
        </w:rPr>
        <w:t>According to Modern Monetary Theory (MMT) as expounded by Professor Stephanie Kelton (The Deficit Myth: Modern Monetary Theory and the Birth of the People’s Economy, 2020), a country with monetary sovereignty can issue its own currency and utilize it to drive economic growth.</w:t>
      </w:r>
    </w:p>
    <w:p w14:paraId="6087E0E1">
      <w:pPr>
        <w:jc w:val="both"/>
        <w:rPr>
          <w:rFonts w:hint="default"/>
          <w:lang w:val="en-US"/>
        </w:rPr>
      </w:pPr>
    </w:p>
    <w:p w14:paraId="41E18ED4">
      <w:pPr>
        <w:jc w:val="both"/>
        <w:rPr>
          <w:rFonts w:hint="default"/>
          <w:lang w:val="en-US"/>
        </w:rPr>
      </w:pPr>
      <w:r>
        <w:rPr>
          <w:rFonts w:hint="default"/>
          <w:lang w:val="en-US"/>
        </w:rPr>
        <w:t>Syno Aurelius exercises this right by:</w:t>
      </w:r>
    </w:p>
    <w:p w14:paraId="3363F294">
      <w:pPr>
        <w:jc w:val="both"/>
        <w:rPr>
          <w:rFonts w:hint="default"/>
          <w:lang w:val="en-US"/>
        </w:rPr>
      </w:pPr>
      <w:r>
        <w:rPr>
          <w:rFonts w:hint="default"/>
          <w:lang w:val="en-US"/>
        </w:rPr>
        <w:t>Issuing its own currency, the Syno Aurelius Dollar (SAD), which is pegged to the US Dollar at a 1:1 ratio.</w:t>
      </w:r>
    </w:p>
    <w:p w14:paraId="40391D32">
      <w:pPr>
        <w:jc w:val="both"/>
        <w:rPr>
          <w:rFonts w:hint="default"/>
          <w:lang w:val="en-US"/>
        </w:rPr>
      </w:pPr>
      <w:r>
        <w:rPr>
          <w:rFonts w:hint="default"/>
          <w:lang w:val="en-US"/>
        </w:rPr>
        <w:t>Utilizing the currency for capitalizing state-owned enterprises, demonstrating the application of the Economic Command Theory followed by the Open Market Theory.</w:t>
      </w:r>
    </w:p>
    <w:p w14:paraId="312F4011">
      <w:pPr>
        <w:jc w:val="both"/>
        <w:rPr>
          <w:rFonts w:hint="default"/>
          <w:lang w:val="en-US"/>
        </w:rPr>
      </w:pPr>
    </w:p>
    <w:p w14:paraId="1C731592">
      <w:pPr>
        <w:jc w:val="both"/>
        <w:rPr>
          <w:rFonts w:hint="default"/>
          <w:lang w:val="en-US"/>
        </w:rPr>
      </w:pPr>
      <w:r>
        <w:rPr>
          <w:rFonts w:hint="default"/>
          <w:lang w:val="en-US"/>
        </w:rPr>
        <w:t>Capitalizing the Banco Muundo Ufumbesi Ltd (BMU Trade &amp; Investment Bank) through the Central Bank of Syno Aurelius. This process involves issuing currency against government guarantees as collateral, directly supporting economic development.</w:t>
      </w:r>
    </w:p>
    <w:p w14:paraId="2BB599FE">
      <w:pPr>
        <w:jc w:val="both"/>
        <w:rPr>
          <w:rFonts w:hint="default"/>
          <w:lang w:val="en-US"/>
        </w:rPr>
      </w:pPr>
    </w:p>
    <w:p w14:paraId="5D06A52F">
      <w:pPr>
        <w:jc w:val="both"/>
        <w:rPr>
          <w:rFonts w:hint="default"/>
          <w:lang w:val="en-US"/>
        </w:rPr>
      </w:pPr>
      <w:r>
        <w:rPr>
          <w:rFonts w:hint="default"/>
          <w:lang w:val="en-US"/>
        </w:rPr>
        <w:t>This strategic approach not only reinforces monetary sovereignty but also showcases how a currency can be a powerful tool in implementing government policies, stimulating economic activities, and strengthening national financial institutions.</w:t>
      </w:r>
    </w:p>
    <w:p w14:paraId="422374B8">
      <w:pPr>
        <w:jc w:val="both"/>
        <w:rPr>
          <w:rFonts w:hint="default"/>
          <w:lang w:val="en-US"/>
        </w:rPr>
      </w:pPr>
      <w:r>
        <w:rPr>
          <w:rFonts w:hint="default"/>
          <w:lang w:val="en-US"/>
        </w:rPr>
        <w:br w:type="textWrapping"/>
      </w:r>
    </w:p>
    <w:p w14:paraId="33371206">
      <w:pPr>
        <w:jc w:val="both"/>
        <w:rPr>
          <w:rFonts w:hint="default"/>
          <w:lang w:val="en-US"/>
        </w:rPr>
      </w:pPr>
    </w:p>
    <w:p w14:paraId="4901AD5C">
      <w:pPr>
        <w:jc w:val="both"/>
        <w:rPr>
          <w:rFonts w:hint="default"/>
          <w:b/>
          <w:bCs/>
          <w:lang w:val="en-US"/>
        </w:rPr>
      </w:pPr>
      <w:r>
        <w:rPr>
          <w:rFonts w:hint="default"/>
          <w:b/>
          <w:bCs/>
          <w:lang w:val="en-US"/>
        </w:rPr>
        <w:t>Conclusion</w:t>
      </w:r>
    </w:p>
    <w:p w14:paraId="264D5601">
      <w:pPr>
        <w:jc w:val="both"/>
        <w:rPr>
          <w:rFonts w:hint="default"/>
          <w:lang w:val="en-US"/>
        </w:rPr>
      </w:pPr>
      <w:r>
        <w:rPr>
          <w:rFonts w:hint="default"/>
          <w:lang w:val="en-US"/>
        </w:rPr>
        <w:t>Currency is not merely a medium of exchange but a vital economic instrument. As demonstrated by Syno Aurelius, the strategic issuance and management of currency, grounded in Modern Monetary Theory, enables a nation to capitalize state-owned entities, drive economic initiatives, and maintain monetary stability. This approach exemplifies how currency, underpinned by sound economic theories, can transform into a vehicle for sustainable development and economic sovereignty.</w:t>
      </w:r>
    </w:p>
    <w:p w14:paraId="0E1F8A50">
      <w:pPr>
        <w:jc w:val="both"/>
        <w:rPr>
          <w:rFonts w:hint="default"/>
          <w:lang w:val="en-US"/>
        </w:rPr>
      </w:pPr>
    </w:p>
    <w:p w14:paraId="26DECDC4">
      <w:pPr>
        <w:jc w:val="both"/>
        <w:rPr>
          <w:rFonts w:hint="default"/>
          <w:lang w:val="en-US"/>
        </w:rPr>
      </w:pPr>
    </w:p>
    <w:p w14:paraId="5C2D284D">
      <w:pPr>
        <w:jc w:val="both"/>
        <w:rPr>
          <w:rFonts w:hint="default"/>
          <w:lang w:val="en-US"/>
        </w:rPr>
      </w:pPr>
    </w:p>
    <w:p w14:paraId="0BCA86AA">
      <w:pPr>
        <w:jc w:val="both"/>
        <w:rPr>
          <w:rFonts w:hint="default"/>
          <w:lang w:val="en-US"/>
        </w:rPr>
      </w:pPr>
    </w:p>
    <w:p w14:paraId="5F679DD4">
      <w:pPr>
        <w:jc w:val="both"/>
        <w:rPr>
          <w:rFonts w:hint="default"/>
          <w:lang w:val="en-US"/>
        </w:rPr>
      </w:pPr>
    </w:p>
    <w:p w14:paraId="5E7E730C">
      <w:pPr>
        <w:jc w:val="both"/>
        <w:rPr>
          <w:rFonts w:hint="default"/>
          <w:lang w:val="en-US"/>
        </w:rPr>
      </w:pPr>
    </w:p>
    <w:p w14:paraId="76B11656">
      <w:pPr>
        <w:jc w:val="both"/>
        <w:rPr>
          <w:rFonts w:hint="default"/>
          <w:lang w:val="en-US"/>
        </w:rPr>
      </w:pPr>
    </w:p>
    <w:p w14:paraId="4C37C59D">
      <w:pPr>
        <w:jc w:val="both"/>
        <w:rPr>
          <w:rFonts w:hint="default"/>
          <w:lang w:val="en-US"/>
        </w:rPr>
      </w:pPr>
    </w:p>
    <w:p w14:paraId="22DC9106">
      <w:pPr>
        <w:jc w:val="both"/>
        <w:rPr>
          <w:rFonts w:hint="default"/>
          <w:lang w:val="en-US"/>
        </w:rPr>
      </w:pPr>
    </w:p>
    <w:p w14:paraId="3C3EEC6A">
      <w:pPr>
        <w:jc w:val="both"/>
        <w:rPr>
          <w:rFonts w:hint="default"/>
          <w:lang w:val="en-US"/>
        </w:rPr>
      </w:pPr>
    </w:p>
    <w:p w14:paraId="75F74B20">
      <w:pPr>
        <w:jc w:val="both"/>
        <w:rPr>
          <w:rFonts w:hint="default"/>
          <w:lang w:val="en-US"/>
        </w:rPr>
      </w:pPr>
    </w:p>
    <w:p w14:paraId="584742ED">
      <w:pPr>
        <w:jc w:val="both"/>
        <w:rPr>
          <w:rFonts w:hint="default"/>
          <w:lang w:val="en-US"/>
        </w:rPr>
      </w:pPr>
    </w:p>
    <w:p w14:paraId="3FD3B257">
      <w:pPr>
        <w:jc w:val="both"/>
        <w:rPr>
          <w:rFonts w:hint="default"/>
          <w:lang w:val="en-US"/>
        </w:rPr>
      </w:pPr>
    </w:p>
    <w:p w14:paraId="3DAA4627">
      <w:pPr>
        <w:jc w:val="both"/>
        <w:rPr>
          <w:rFonts w:hint="default"/>
          <w:lang w:val="en-US"/>
        </w:rPr>
      </w:pPr>
    </w:p>
    <w:p w14:paraId="5E555AB0">
      <w:pPr>
        <w:jc w:val="both"/>
        <w:rPr>
          <w:rFonts w:hint="default"/>
          <w:lang w:val="en-US"/>
        </w:rPr>
      </w:pPr>
    </w:p>
    <w:p w14:paraId="626AA55C">
      <w:pPr>
        <w:jc w:val="both"/>
        <w:rPr>
          <w:rFonts w:hint="default"/>
          <w:lang w:val="en-US"/>
        </w:rPr>
      </w:pPr>
    </w:p>
    <w:p w14:paraId="71C9B4D3">
      <w:pPr>
        <w:jc w:val="both"/>
        <w:rPr>
          <w:rFonts w:hint="default"/>
          <w:lang w:val="en-US"/>
        </w:rPr>
      </w:pPr>
    </w:p>
    <w:p w14:paraId="7A27A2E8">
      <w:pPr>
        <w:jc w:val="both"/>
        <w:rPr>
          <w:rFonts w:hint="default"/>
          <w:lang w:val="en-US"/>
        </w:rPr>
      </w:pPr>
    </w:p>
    <w:p w14:paraId="365474DC">
      <w:pPr>
        <w:jc w:val="both"/>
        <w:rPr>
          <w:rFonts w:hint="default"/>
          <w:lang w:val="en-US"/>
        </w:rPr>
      </w:pPr>
    </w:p>
    <w:p w14:paraId="61A68F2B">
      <w:pPr>
        <w:jc w:val="both"/>
        <w:rPr>
          <w:rFonts w:hint="default"/>
          <w:lang w:val="en-US"/>
        </w:rPr>
      </w:pPr>
    </w:p>
    <w:p w14:paraId="3D034F1B">
      <w:pPr>
        <w:jc w:val="both"/>
        <w:rPr>
          <w:rFonts w:hint="default"/>
          <w:lang w:val="en-US"/>
        </w:rPr>
      </w:pPr>
    </w:p>
    <w:p w14:paraId="7CB47C41">
      <w:pPr>
        <w:jc w:val="both"/>
        <w:rPr>
          <w:rFonts w:hint="default"/>
          <w:lang w:val="en-US"/>
        </w:rPr>
      </w:pPr>
    </w:p>
    <w:p w14:paraId="529660F1">
      <w:pPr>
        <w:jc w:val="both"/>
        <w:rPr>
          <w:rFonts w:hint="default"/>
          <w:lang w:val="en-US"/>
        </w:rPr>
      </w:pPr>
    </w:p>
    <w:p w14:paraId="04A6BFA7">
      <w:pPr>
        <w:jc w:val="both"/>
        <w:rPr>
          <w:rFonts w:hint="default"/>
          <w:lang w:val="en-US"/>
        </w:rPr>
      </w:pPr>
    </w:p>
    <w:p w14:paraId="380D2EC6">
      <w:pPr>
        <w:jc w:val="both"/>
        <w:rPr>
          <w:rFonts w:hint="default"/>
          <w:lang w:val="en-US"/>
        </w:rPr>
      </w:pPr>
    </w:p>
    <w:p w14:paraId="321669C6">
      <w:pPr>
        <w:jc w:val="both"/>
        <w:rPr>
          <w:rFonts w:hint="default"/>
          <w:lang w:val="en-US"/>
        </w:rPr>
      </w:pPr>
    </w:p>
    <w:p w14:paraId="653EAA6F">
      <w:pPr>
        <w:jc w:val="both"/>
        <w:rPr>
          <w:rFonts w:hint="default"/>
          <w:lang w:val="en-US"/>
        </w:rPr>
      </w:pPr>
    </w:p>
    <w:p w14:paraId="05F5237E">
      <w:pPr>
        <w:jc w:val="both"/>
        <w:rPr>
          <w:rFonts w:hint="default"/>
          <w:lang w:val="en-US"/>
        </w:rPr>
      </w:pPr>
    </w:p>
    <w:p w14:paraId="388A8B0F">
      <w:pPr>
        <w:jc w:val="both"/>
        <w:rPr>
          <w:rFonts w:hint="default"/>
          <w:lang w:val="en-US"/>
        </w:rPr>
      </w:pPr>
    </w:p>
    <w:p w14:paraId="5E4862A9">
      <w:pPr>
        <w:jc w:val="both"/>
        <w:rPr>
          <w:rFonts w:hint="default"/>
          <w:lang w:val="en-US"/>
        </w:rPr>
      </w:pPr>
    </w:p>
    <w:p w14:paraId="11BD91AB">
      <w:pPr>
        <w:jc w:val="both"/>
        <w:rPr>
          <w:rFonts w:hint="default"/>
          <w:lang w:val="en-US"/>
        </w:rPr>
      </w:pPr>
    </w:p>
    <w:p w14:paraId="31576723">
      <w:pPr>
        <w:jc w:val="both"/>
        <w:rPr>
          <w:rFonts w:hint="default"/>
          <w:lang w:val="en-US"/>
        </w:rPr>
      </w:pPr>
    </w:p>
    <w:p w14:paraId="59AA12AB">
      <w:pPr>
        <w:jc w:val="both"/>
        <w:rPr>
          <w:rFonts w:hint="default"/>
          <w:lang w:val="en-US"/>
        </w:rPr>
      </w:pPr>
    </w:p>
    <w:p w14:paraId="38E593DB">
      <w:pPr>
        <w:jc w:val="both"/>
        <w:rPr>
          <w:rFonts w:hint="default"/>
          <w:lang w:val="en-US"/>
        </w:rPr>
      </w:pPr>
    </w:p>
    <w:p w14:paraId="503DEFFC">
      <w:pPr>
        <w:jc w:val="both"/>
        <w:rPr>
          <w:rFonts w:hint="default"/>
          <w:lang w:val="en-US"/>
        </w:rPr>
      </w:pPr>
    </w:p>
    <w:p w14:paraId="4415C22E">
      <w:pPr>
        <w:jc w:val="both"/>
        <w:rPr>
          <w:rFonts w:hint="default"/>
          <w:lang w:val="en-US"/>
        </w:rPr>
      </w:pPr>
    </w:p>
    <w:p w14:paraId="0633AC92">
      <w:pPr>
        <w:jc w:val="both"/>
        <w:rPr>
          <w:rFonts w:hint="default"/>
          <w:lang w:val="en-US"/>
        </w:rPr>
      </w:pPr>
    </w:p>
    <w:p w14:paraId="2667433B">
      <w:pPr>
        <w:jc w:val="both"/>
        <w:rPr>
          <w:rFonts w:hint="default"/>
          <w:lang w:val="en-US"/>
        </w:rPr>
      </w:pPr>
    </w:p>
    <w:p w14:paraId="303A007D">
      <w:pPr>
        <w:jc w:val="both"/>
        <w:rPr>
          <w:rFonts w:hint="default"/>
          <w:lang w:val="en-US"/>
        </w:rPr>
      </w:pPr>
    </w:p>
    <w:p w14:paraId="1DD575FD">
      <w:pPr>
        <w:jc w:val="both"/>
        <w:rPr>
          <w:rFonts w:hint="default"/>
          <w:lang w:val="en-US"/>
        </w:rPr>
      </w:pPr>
    </w:p>
    <w:p w14:paraId="31C52E75">
      <w:pPr>
        <w:jc w:val="both"/>
        <w:rPr>
          <w:rFonts w:hint="default"/>
          <w:lang w:val="en-US"/>
        </w:rPr>
      </w:pPr>
    </w:p>
    <w:p w14:paraId="46CD6136">
      <w:pPr>
        <w:jc w:val="both"/>
        <w:rPr>
          <w:rFonts w:hint="default"/>
          <w:lang w:val="en-US"/>
        </w:rPr>
      </w:pPr>
    </w:p>
    <w:p w14:paraId="3E04D11E">
      <w:pPr>
        <w:jc w:val="both"/>
        <w:rPr>
          <w:rFonts w:hint="default"/>
          <w:lang w:val="en-US"/>
        </w:rPr>
      </w:pPr>
    </w:p>
    <w:p w14:paraId="13703B17">
      <w:pPr>
        <w:jc w:val="both"/>
        <w:rPr>
          <w:rFonts w:hint="default"/>
          <w:lang w:val="en-US"/>
        </w:rPr>
      </w:pPr>
    </w:p>
    <w:p w14:paraId="5FCDAFE4">
      <w:pPr>
        <w:jc w:val="both"/>
        <w:rPr>
          <w:rFonts w:hint="default"/>
          <w:lang w:val="en-US"/>
        </w:rPr>
      </w:pPr>
    </w:p>
    <w:p w14:paraId="40B69418">
      <w:pPr>
        <w:jc w:val="both"/>
        <w:rPr>
          <w:rFonts w:hint="default"/>
          <w:lang w:val="en-US"/>
        </w:rPr>
      </w:pPr>
    </w:p>
    <w:p w14:paraId="21088E8B">
      <w:pPr>
        <w:jc w:val="both"/>
        <w:rPr>
          <w:rFonts w:hint="default"/>
          <w:lang w:val="en-US"/>
        </w:rPr>
      </w:pPr>
    </w:p>
    <w:p w14:paraId="72AAB5CB">
      <w:pPr>
        <w:jc w:val="both"/>
        <w:rPr>
          <w:rFonts w:hint="default"/>
          <w:lang w:val="en-US"/>
        </w:rPr>
      </w:pPr>
    </w:p>
    <w:p w14:paraId="0D6CD3F7">
      <w:pPr>
        <w:jc w:val="both"/>
        <w:rPr>
          <w:rFonts w:hint="default"/>
          <w:lang w:val="en-US"/>
        </w:rPr>
      </w:pPr>
    </w:p>
    <w:p w14:paraId="66AEDD58">
      <w:pPr>
        <w:jc w:val="both"/>
        <w:rPr>
          <w:rFonts w:hint="default"/>
          <w:lang w:val="en-US"/>
        </w:rPr>
      </w:pPr>
    </w:p>
    <w:p w14:paraId="6BC5BB5E">
      <w:pPr>
        <w:jc w:val="center"/>
        <w:rPr>
          <w:rFonts w:hint="default"/>
          <w:b/>
          <w:bCs/>
          <w:sz w:val="32"/>
          <w:szCs w:val="32"/>
          <w:lang w:val="en-US"/>
        </w:rPr>
      </w:pPr>
      <w:r>
        <w:rPr>
          <w:rFonts w:hint="default"/>
          <w:b/>
          <w:bCs/>
          <w:sz w:val="32"/>
          <w:szCs w:val="32"/>
          <w:lang w:val="en-US"/>
        </w:rPr>
        <w:t>Digital Currency and the Evolution of Money as a Unit of Value</w:t>
      </w:r>
    </w:p>
    <w:p w14:paraId="103A0E2D">
      <w:pPr>
        <w:jc w:val="both"/>
        <w:rPr>
          <w:rFonts w:hint="default"/>
          <w:lang w:val="en-US"/>
        </w:rPr>
      </w:pPr>
    </w:p>
    <w:p w14:paraId="262ED87F">
      <w:pPr>
        <w:jc w:val="both"/>
        <w:rPr>
          <w:rFonts w:hint="default"/>
          <w:b/>
          <w:bCs/>
          <w:lang w:val="en-US"/>
        </w:rPr>
      </w:pPr>
      <w:r>
        <w:rPr>
          <w:rFonts w:hint="default"/>
          <w:b/>
          <w:bCs/>
          <w:lang w:val="en-US"/>
        </w:rPr>
        <w:t xml:space="preserve"> </w:t>
      </w:r>
    </w:p>
    <w:p w14:paraId="276575AB">
      <w:pPr>
        <w:jc w:val="both"/>
        <w:rPr>
          <w:rFonts w:hint="default"/>
          <w:lang w:val="en-US"/>
        </w:rPr>
      </w:pPr>
      <w:r>
        <w:rPr>
          <w:rFonts w:hint="default"/>
          <w:lang w:val="en-US"/>
        </w:rPr>
        <w:t>The financial world is undergoing a profound transformation as digital currency increasingly becomes a cornerstone of modern economies. With the advent of blockchain technology, cryptocurrencies, and central bank digital currencies (CBDCs), the concept of money is evolving from physical cash to intangible, digital forms. This shift not only modernizes transactions but also redefines money as a unit of value within a global, digital economy.</w:t>
      </w:r>
    </w:p>
    <w:p w14:paraId="0C3F516C">
      <w:pPr>
        <w:jc w:val="both"/>
        <w:rPr>
          <w:rFonts w:hint="default"/>
          <w:lang w:val="en-US"/>
        </w:rPr>
      </w:pPr>
    </w:p>
    <w:p w14:paraId="2EF28038">
      <w:pPr>
        <w:jc w:val="both"/>
        <w:rPr>
          <w:rFonts w:hint="default"/>
          <w:lang w:val="en-US"/>
        </w:rPr>
      </w:pPr>
      <w:r>
        <w:rPr>
          <w:rFonts w:hint="default"/>
          <w:lang w:val="en-US"/>
        </w:rPr>
        <w:t>The Rise of Digital Currency Digital currency refers to any currency that exists exclusively in electronic form. Unlike traditional physical currencies, digital currencies enable instantaneous transactions and border less transfer of ownership. Prominent examples include cryptocurrencies like Bitcoin and Ethereum, which operate on decentralized networks, as well as CBDCs being explored by governments worldwide.</w:t>
      </w:r>
    </w:p>
    <w:p w14:paraId="6ACBAE96">
      <w:pPr>
        <w:jc w:val="both"/>
        <w:rPr>
          <w:rFonts w:hint="default"/>
          <w:lang w:val="en-US"/>
        </w:rPr>
      </w:pPr>
    </w:p>
    <w:p w14:paraId="46866873">
      <w:pPr>
        <w:jc w:val="both"/>
        <w:rPr>
          <w:rFonts w:hint="default"/>
          <w:lang w:val="en-US"/>
        </w:rPr>
      </w:pPr>
      <w:r>
        <w:rPr>
          <w:rFonts w:hint="default"/>
          <w:lang w:val="en-US"/>
        </w:rPr>
        <w:t>Cryptocurrencies have demonstrated the potential of decentralized finance (DeFi), allowing for peer-to-peer transactions without intermediaries such as banks. On the other hand, CBDCs offer a more controlled and regulated digital currency option, combining the benefits of digital transactions with the stability of traditional fiat currencies.</w:t>
      </w:r>
    </w:p>
    <w:p w14:paraId="1381F619">
      <w:pPr>
        <w:jc w:val="both"/>
        <w:rPr>
          <w:rFonts w:hint="default"/>
          <w:lang w:val="en-US"/>
        </w:rPr>
      </w:pPr>
    </w:p>
    <w:p w14:paraId="291382F1">
      <w:pPr>
        <w:jc w:val="both"/>
        <w:rPr>
          <w:rFonts w:hint="default"/>
          <w:lang w:val="en-US"/>
        </w:rPr>
      </w:pPr>
      <w:r>
        <w:rPr>
          <w:rFonts w:hint="default"/>
          <w:lang w:val="en-US"/>
        </w:rPr>
        <w:t>Money as a Unit of Value At its core, money serves three primary functions: a medium of exchange, a store of value, and a unit of account. As a unit of value, money provides a standardized measure for comparing the worth of goods, services, and assets. In a digital economy, this function remains crucial but adapts to the dynamics of digital assets and virtual transactions.</w:t>
      </w:r>
    </w:p>
    <w:p w14:paraId="62C0C436">
      <w:pPr>
        <w:jc w:val="both"/>
        <w:rPr>
          <w:rFonts w:hint="default"/>
          <w:lang w:val="en-US"/>
        </w:rPr>
      </w:pPr>
    </w:p>
    <w:p w14:paraId="72D78592">
      <w:pPr>
        <w:jc w:val="both"/>
        <w:rPr>
          <w:rFonts w:hint="default"/>
          <w:lang w:val="en-US"/>
        </w:rPr>
      </w:pPr>
      <w:r>
        <w:rPr>
          <w:rFonts w:hint="default"/>
          <w:lang w:val="en-US"/>
        </w:rPr>
        <w:t>Digital currencies extend the concept of money as a unit of value by enabling micro transactions, programmable money, and smart contracts. These innovations introduce new dimensions to value exchange, allowing for automated and conditional transactions that were not possible with traditional money.</w:t>
      </w:r>
    </w:p>
    <w:p w14:paraId="4740EA9C">
      <w:pPr>
        <w:jc w:val="both"/>
        <w:rPr>
          <w:rFonts w:hint="default"/>
          <w:lang w:val="en-US"/>
        </w:rPr>
      </w:pPr>
    </w:p>
    <w:p w14:paraId="540F6D9C">
      <w:pPr>
        <w:jc w:val="both"/>
        <w:rPr>
          <w:rFonts w:hint="default"/>
          <w:lang w:val="en-US"/>
        </w:rPr>
      </w:pPr>
      <w:r>
        <w:rPr>
          <w:rFonts w:hint="default"/>
          <w:lang w:val="en-US"/>
        </w:rPr>
        <w:t>Digital Payment Systems and the Nature of Banking In today's financial ecosystem, funds are transferred through digital payment systems, eliminating the need for physical cash movement. Unlike the traditional era when security vehicles transported cash between banks, modern transactions are purely digital. Banking, in essence, has evolved into a sophisticated accounting process. When funds are transferred, there is no physical exchange of cash. Instead, the sender's account (Drawer) is debited, and the receiver's account (Beneficiary) is credited (Drawee). Alternatively the legibus arrangements are executed (Vostro/Nostro Accounts). These  processes  are ledger-based transaction where accounting entries are adjusted, reflecting the transfer of value digitally. The seamless nature of this system enhances efficiency, security, and speed, ensuring a reliable and transparent financial environment.</w:t>
      </w:r>
    </w:p>
    <w:p w14:paraId="125178ED">
      <w:pPr>
        <w:jc w:val="both"/>
        <w:rPr>
          <w:rFonts w:hint="default"/>
          <w:lang w:val="en-US"/>
        </w:rPr>
      </w:pPr>
    </w:p>
    <w:p w14:paraId="3526BD13">
      <w:pPr>
        <w:jc w:val="both"/>
        <w:rPr>
          <w:rFonts w:hint="default"/>
          <w:lang w:val="en-US"/>
        </w:rPr>
      </w:pPr>
      <w:r>
        <w:rPr>
          <w:rFonts w:hint="default"/>
          <w:lang w:val="en-US"/>
        </w:rPr>
        <w:t>The Implications of a Digital Money Paradigm The transition to digital money has significant implications for individuals, businesses, and governments. It promises enhanced efficiency, reduced transaction costs, and increased financial inclusion. Digital currencies also facilitate transparency and traceability, contributing to anti-money laundering (AML) and combating the financing of terrorism (CFT) efforts.</w:t>
      </w:r>
    </w:p>
    <w:p w14:paraId="785EC537">
      <w:pPr>
        <w:jc w:val="both"/>
        <w:rPr>
          <w:rFonts w:hint="default"/>
          <w:lang w:val="en-US"/>
        </w:rPr>
      </w:pPr>
    </w:p>
    <w:p w14:paraId="38BF1864">
      <w:pPr>
        <w:jc w:val="both"/>
        <w:rPr>
          <w:rFonts w:hint="default"/>
          <w:lang w:val="en-US"/>
        </w:rPr>
      </w:pPr>
      <w:r>
        <w:rPr>
          <w:rFonts w:hint="default"/>
          <w:lang w:val="en-US"/>
        </w:rPr>
        <w:t>However, challenges remain, including regulatory concerns, cybersecurity risks, and the need for robust digital infrastructure. Striking a balance between innovation and regulation is essential to fully harness the potential of digital currencies while mitigating risks.</w:t>
      </w:r>
    </w:p>
    <w:p w14:paraId="09C68EB7">
      <w:pPr>
        <w:jc w:val="both"/>
        <w:rPr>
          <w:rFonts w:hint="default"/>
          <w:lang w:val="en-US"/>
        </w:rPr>
      </w:pPr>
      <w:r>
        <w:rPr>
          <w:rFonts w:hint="default"/>
          <w:lang w:val="en-US"/>
        </w:rPr>
        <w:br w:type="textWrapping"/>
      </w:r>
      <w:r>
        <w:rPr>
          <w:rFonts w:hint="default"/>
          <w:lang w:val="en-US"/>
        </w:rPr>
        <w:br w:type="textWrapping"/>
      </w:r>
      <w:r>
        <w:rPr>
          <w:rFonts w:hint="default"/>
          <w:lang w:val="en-US"/>
        </w:rPr>
        <w:br w:type="textWrapping"/>
      </w:r>
      <w:r>
        <w:rPr>
          <w:rFonts w:hint="default"/>
          <w:lang w:val="en-US"/>
        </w:rPr>
        <w:br w:type="textWrapping"/>
      </w:r>
    </w:p>
    <w:p w14:paraId="754CA739">
      <w:pPr>
        <w:jc w:val="both"/>
        <w:rPr>
          <w:rFonts w:hint="default"/>
          <w:lang w:val="en-US"/>
        </w:rPr>
      </w:pPr>
    </w:p>
    <w:p w14:paraId="3B62435A">
      <w:pPr>
        <w:jc w:val="both"/>
        <w:rPr>
          <w:rFonts w:hint="default"/>
          <w:lang w:val="en-US"/>
        </w:rPr>
      </w:pPr>
    </w:p>
    <w:p w14:paraId="50084E54">
      <w:pPr>
        <w:jc w:val="both"/>
        <w:rPr>
          <w:rFonts w:hint="default"/>
          <w:b/>
          <w:bCs/>
          <w:lang w:val="en-US"/>
        </w:rPr>
      </w:pPr>
      <w:r>
        <w:rPr>
          <w:rFonts w:hint="default"/>
          <w:b/>
          <w:bCs/>
          <w:lang w:val="en-US"/>
        </w:rPr>
        <w:t xml:space="preserve">Conclusion </w:t>
      </w:r>
    </w:p>
    <w:p w14:paraId="205BE664">
      <w:pPr>
        <w:jc w:val="both"/>
        <w:rPr>
          <w:rFonts w:hint="default"/>
          <w:lang w:val="en-US"/>
        </w:rPr>
      </w:pPr>
      <w:r>
        <w:rPr>
          <w:rFonts w:hint="default"/>
          <w:lang w:val="en-US"/>
        </w:rPr>
        <w:t>As the world embraces digital transformation, the evolution of money into digital forms signifies a natural progression toward a more interconnected and efficient financial system. Whether through cryptocurrencies or state-backed digital currencies, the role of money as a unit of value remains central, providing stability and standardization in a rapidly changing economic landscape. The future of money is digital, and its continued evolution will shape how value is created, stored, and exchanged in the global economy.</w:t>
      </w:r>
    </w:p>
    <w:p w14:paraId="2E03F835">
      <w:pPr>
        <w:jc w:val="both"/>
        <w:rPr>
          <w:rFonts w:hint="default"/>
          <w:lang w:val="en-US"/>
        </w:rPr>
      </w:pPr>
    </w:p>
    <w:p w14:paraId="50FFCCBC">
      <w:pPr>
        <w:jc w:val="both"/>
        <w:rPr>
          <w:rFonts w:hint="default"/>
          <w:lang w:val="en-US"/>
        </w:rPr>
      </w:pPr>
    </w:p>
    <w:p w14:paraId="17B037A1">
      <w:pPr>
        <w:jc w:val="both"/>
        <w:rPr>
          <w:rFonts w:hint="default"/>
          <w:lang w:val="en-US"/>
        </w:rPr>
      </w:pPr>
    </w:p>
    <w:p w14:paraId="37BB3B5C">
      <w:pPr>
        <w:jc w:val="both"/>
        <w:rPr>
          <w:rFonts w:hint="default"/>
          <w:lang w:val="en-US"/>
        </w:rPr>
      </w:pPr>
    </w:p>
    <w:p w14:paraId="24966CFF">
      <w:pPr>
        <w:jc w:val="both"/>
        <w:rPr>
          <w:rFonts w:hint="default"/>
          <w:lang w:val="en-US"/>
        </w:rPr>
      </w:pPr>
    </w:p>
    <w:p w14:paraId="4427EECF">
      <w:pPr>
        <w:jc w:val="both"/>
        <w:rPr>
          <w:rFonts w:hint="default"/>
          <w:lang w:val="en-US"/>
        </w:rPr>
      </w:pPr>
    </w:p>
    <w:p w14:paraId="786AC55C">
      <w:pPr>
        <w:jc w:val="both"/>
        <w:rPr>
          <w:rFonts w:hint="default"/>
          <w:lang w:val="en-US"/>
        </w:rPr>
      </w:pPr>
    </w:p>
    <w:p w14:paraId="1035350C">
      <w:pPr>
        <w:jc w:val="both"/>
        <w:rPr>
          <w:rFonts w:hint="default"/>
          <w:lang w:val="en-US"/>
        </w:rPr>
      </w:pPr>
    </w:p>
    <w:p w14:paraId="55639B6B">
      <w:pPr>
        <w:jc w:val="both"/>
        <w:rPr>
          <w:rFonts w:hint="default"/>
          <w:lang w:val="en-US"/>
        </w:rPr>
      </w:pPr>
    </w:p>
    <w:p w14:paraId="25C01CE2">
      <w:pPr>
        <w:jc w:val="both"/>
        <w:rPr>
          <w:rFonts w:hint="default"/>
          <w:lang w:val="en-US"/>
        </w:rPr>
      </w:pPr>
    </w:p>
    <w:p w14:paraId="3AA496B0">
      <w:pPr>
        <w:jc w:val="both"/>
        <w:rPr>
          <w:rFonts w:hint="default"/>
          <w:lang w:val="en-US"/>
        </w:rPr>
      </w:pPr>
    </w:p>
    <w:p w14:paraId="7B1FE101">
      <w:pPr>
        <w:jc w:val="both"/>
        <w:rPr>
          <w:rFonts w:hint="default"/>
          <w:lang w:val="en-US"/>
        </w:rPr>
      </w:pPr>
    </w:p>
    <w:p w14:paraId="5033E216">
      <w:pPr>
        <w:jc w:val="both"/>
        <w:rPr>
          <w:rFonts w:hint="default"/>
          <w:lang w:val="en-US"/>
        </w:rPr>
      </w:pPr>
    </w:p>
    <w:p w14:paraId="2F48BF08">
      <w:pPr>
        <w:jc w:val="both"/>
        <w:rPr>
          <w:rFonts w:hint="default"/>
          <w:lang w:val="en-US"/>
        </w:rPr>
      </w:pPr>
    </w:p>
    <w:p w14:paraId="4E79E85C">
      <w:pPr>
        <w:jc w:val="both"/>
        <w:rPr>
          <w:rFonts w:hint="default"/>
          <w:lang w:val="en-US"/>
        </w:rPr>
      </w:pPr>
    </w:p>
    <w:p w14:paraId="67DC594F">
      <w:pPr>
        <w:jc w:val="both"/>
        <w:rPr>
          <w:rFonts w:hint="default"/>
          <w:lang w:val="en-US"/>
        </w:rPr>
      </w:pPr>
    </w:p>
    <w:p w14:paraId="404EFDFD">
      <w:pPr>
        <w:jc w:val="both"/>
        <w:rPr>
          <w:rFonts w:hint="default"/>
          <w:lang w:val="en-US"/>
        </w:rPr>
      </w:pPr>
    </w:p>
    <w:p w14:paraId="5307A92B">
      <w:pPr>
        <w:jc w:val="both"/>
        <w:rPr>
          <w:rFonts w:hint="default"/>
          <w:lang w:val="en-US"/>
        </w:rPr>
      </w:pPr>
    </w:p>
    <w:p w14:paraId="5060B526">
      <w:pPr>
        <w:jc w:val="both"/>
        <w:rPr>
          <w:rFonts w:hint="default"/>
          <w:lang w:val="en-US"/>
        </w:rPr>
      </w:pPr>
    </w:p>
    <w:p w14:paraId="3DF4BF20">
      <w:pPr>
        <w:jc w:val="both"/>
        <w:rPr>
          <w:rFonts w:hint="default"/>
          <w:lang w:val="en-US"/>
        </w:rPr>
      </w:pPr>
    </w:p>
    <w:p w14:paraId="4A2DE074">
      <w:pPr>
        <w:jc w:val="both"/>
        <w:rPr>
          <w:rFonts w:hint="default"/>
          <w:lang w:val="en-US"/>
        </w:rPr>
      </w:pPr>
    </w:p>
    <w:p w14:paraId="1C9772C1">
      <w:pPr>
        <w:jc w:val="both"/>
        <w:rPr>
          <w:rFonts w:hint="default"/>
          <w:lang w:val="en-US"/>
        </w:rPr>
      </w:pPr>
    </w:p>
    <w:p w14:paraId="375EBC3D">
      <w:pPr>
        <w:jc w:val="both"/>
        <w:rPr>
          <w:rFonts w:hint="default"/>
          <w:lang w:val="en-US"/>
        </w:rPr>
      </w:pPr>
    </w:p>
    <w:p w14:paraId="12ED5ABA">
      <w:pPr>
        <w:jc w:val="both"/>
        <w:rPr>
          <w:rFonts w:hint="default"/>
          <w:lang w:val="en-US"/>
        </w:rPr>
      </w:pPr>
    </w:p>
    <w:p w14:paraId="62C81664">
      <w:pPr>
        <w:jc w:val="both"/>
        <w:rPr>
          <w:rFonts w:hint="default"/>
          <w:lang w:val="en-US"/>
        </w:rPr>
      </w:pPr>
    </w:p>
    <w:p w14:paraId="2309B5EC">
      <w:pPr>
        <w:jc w:val="both"/>
        <w:rPr>
          <w:rFonts w:hint="default"/>
          <w:lang w:val="en-US"/>
        </w:rPr>
      </w:pPr>
    </w:p>
    <w:p w14:paraId="30EAAD80">
      <w:pPr>
        <w:jc w:val="both"/>
        <w:rPr>
          <w:rFonts w:hint="default"/>
          <w:lang w:val="en-US"/>
        </w:rPr>
      </w:pPr>
    </w:p>
    <w:p w14:paraId="2C80C5D4">
      <w:pPr>
        <w:jc w:val="both"/>
        <w:rPr>
          <w:rFonts w:hint="default"/>
          <w:lang w:val="en-US"/>
        </w:rPr>
      </w:pPr>
    </w:p>
    <w:p w14:paraId="560A8813">
      <w:pPr>
        <w:jc w:val="both"/>
        <w:rPr>
          <w:rFonts w:hint="default"/>
          <w:lang w:val="en-US"/>
        </w:rPr>
      </w:pPr>
    </w:p>
    <w:p w14:paraId="5DFFE622">
      <w:pPr>
        <w:jc w:val="both"/>
        <w:rPr>
          <w:rFonts w:hint="default"/>
          <w:lang w:val="en-US"/>
        </w:rPr>
      </w:pPr>
    </w:p>
    <w:p w14:paraId="131A1B46">
      <w:pPr>
        <w:jc w:val="both"/>
        <w:rPr>
          <w:rFonts w:hint="default"/>
          <w:lang w:val="en-US"/>
        </w:rPr>
      </w:pPr>
    </w:p>
    <w:p w14:paraId="4CBFAE7F">
      <w:pPr>
        <w:jc w:val="both"/>
        <w:rPr>
          <w:rFonts w:hint="default"/>
          <w:lang w:val="en-US"/>
        </w:rPr>
      </w:pPr>
    </w:p>
    <w:p w14:paraId="6A05EBFD">
      <w:pPr>
        <w:jc w:val="both"/>
        <w:rPr>
          <w:rFonts w:hint="default"/>
          <w:lang w:val="en-US"/>
        </w:rPr>
      </w:pPr>
    </w:p>
    <w:p w14:paraId="4E7A5CA7">
      <w:pPr>
        <w:jc w:val="both"/>
        <w:rPr>
          <w:rFonts w:hint="default"/>
          <w:lang w:val="en-US"/>
        </w:rPr>
      </w:pPr>
    </w:p>
    <w:p w14:paraId="5B2356A9">
      <w:pPr>
        <w:jc w:val="both"/>
        <w:rPr>
          <w:rFonts w:hint="default"/>
          <w:lang w:val="en-US"/>
        </w:rPr>
      </w:pPr>
    </w:p>
    <w:p w14:paraId="5EC40B6E">
      <w:pPr>
        <w:jc w:val="both"/>
        <w:rPr>
          <w:rFonts w:hint="default"/>
          <w:lang w:val="en-US"/>
        </w:rPr>
      </w:pPr>
    </w:p>
    <w:p w14:paraId="12CEFC1C">
      <w:pPr>
        <w:jc w:val="both"/>
        <w:rPr>
          <w:rFonts w:hint="default"/>
          <w:lang w:val="en-US"/>
        </w:rPr>
      </w:pPr>
    </w:p>
    <w:p w14:paraId="2DB2EE4A">
      <w:pPr>
        <w:jc w:val="both"/>
        <w:rPr>
          <w:rFonts w:hint="default"/>
          <w:lang w:val="en-US"/>
        </w:rPr>
      </w:pPr>
    </w:p>
    <w:p w14:paraId="67EBD40D">
      <w:pPr>
        <w:jc w:val="both"/>
        <w:rPr>
          <w:rFonts w:hint="default"/>
          <w:lang w:val="en-US"/>
        </w:rPr>
      </w:pPr>
    </w:p>
    <w:p w14:paraId="3701A272">
      <w:pPr>
        <w:jc w:val="both"/>
        <w:rPr>
          <w:rFonts w:hint="default"/>
          <w:lang w:val="en-US"/>
        </w:rPr>
      </w:pPr>
    </w:p>
    <w:p w14:paraId="08BE4BF4">
      <w:pPr>
        <w:jc w:val="both"/>
        <w:rPr>
          <w:rFonts w:hint="default"/>
          <w:lang w:val="en-US"/>
        </w:rPr>
      </w:pPr>
    </w:p>
    <w:p w14:paraId="6B034111">
      <w:pPr>
        <w:jc w:val="both"/>
        <w:rPr>
          <w:rFonts w:hint="default"/>
          <w:lang w:val="en-US"/>
        </w:rPr>
      </w:pPr>
    </w:p>
    <w:p w14:paraId="015F6F3B">
      <w:pPr>
        <w:jc w:val="both"/>
        <w:rPr>
          <w:rFonts w:hint="default"/>
          <w:lang w:val="en-US"/>
        </w:rPr>
      </w:pPr>
    </w:p>
    <w:p w14:paraId="18B40AD7">
      <w:pPr>
        <w:jc w:val="both"/>
        <w:rPr>
          <w:rFonts w:hint="default"/>
          <w:lang w:val="en-US"/>
        </w:rPr>
      </w:pPr>
    </w:p>
    <w:p w14:paraId="5E38D237">
      <w:pPr>
        <w:jc w:val="both"/>
        <w:rPr>
          <w:rFonts w:hint="default"/>
          <w:lang w:val="en-US"/>
        </w:rPr>
      </w:pPr>
    </w:p>
    <w:p w14:paraId="5C144886">
      <w:pPr>
        <w:jc w:val="both"/>
        <w:rPr>
          <w:rFonts w:hint="default"/>
          <w:lang w:val="en-US"/>
        </w:rPr>
      </w:pPr>
    </w:p>
    <w:p w14:paraId="62DDEA2C">
      <w:pPr>
        <w:jc w:val="center"/>
        <w:rPr>
          <w:rFonts w:hint="default"/>
          <w:b/>
          <w:bCs/>
          <w:sz w:val="32"/>
          <w:szCs w:val="32"/>
          <w:lang w:val="en-US"/>
        </w:rPr>
      </w:pPr>
      <w:r>
        <w:rPr>
          <w:rFonts w:hint="default"/>
          <w:b/>
          <w:bCs/>
          <w:sz w:val="32"/>
          <w:szCs w:val="32"/>
          <w:lang w:val="en-US"/>
        </w:rPr>
        <w:br w:type="textWrapping"/>
      </w:r>
      <w:r>
        <w:rPr>
          <w:rFonts w:hint="default"/>
          <w:b/>
          <w:bCs/>
          <w:sz w:val="32"/>
          <w:szCs w:val="32"/>
          <w:lang w:val="en-US"/>
        </w:rPr>
        <w:t>Payments in China: The Digital Revolution</w:t>
      </w:r>
    </w:p>
    <w:p w14:paraId="2AB357A1">
      <w:pPr>
        <w:jc w:val="both"/>
        <w:rPr>
          <w:rFonts w:hint="default"/>
          <w:lang w:val="en-US"/>
        </w:rPr>
      </w:pPr>
    </w:p>
    <w:p w14:paraId="0AFEA9B4">
      <w:pPr>
        <w:jc w:val="both"/>
        <w:rPr>
          <w:rFonts w:hint="default"/>
          <w:b/>
          <w:bCs/>
          <w:lang w:val="en-US"/>
        </w:rPr>
      </w:pPr>
      <w:r>
        <w:rPr>
          <w:rFonts w:hint="default"/>
          <w:b/>
          <w:bCs/>
          <w:lang w:val="en-US"/>
        </w:rPr>
        <w:t>Introduction</w:t>
      </w:r>
    </w:p>
    <w:p w14:paraId="58273B5F">
      <w:pPr>
        <w:jc w:val="both"/>
        <w:rPr>
          <w:rFonts w:hint="default"/>
          <w:lang w:val="en-US"/>
        </w:rPr>
      </w:pPr>
      <w:r>
        <w:rPr>
          <w:rFonts w:hint="default"/>
          <w:lang w:val="en-US"/>
        </w:rPr>
        <w:t>China has rapidly transformed into a predominantly cashless society, leading the world in digital payment innovations. The widespread adoption of digital payment systems such as We Chat Pay and Ali-pay has revolutionized how transactions are conducted, rendering physical cash nearly obsolete in daily transactions. This shift is part of a broader global trend, as countries worldwide embrace digital payments, moving toward a cashless society where money exists as a digital unit of value.</w:t>
      </w:r>
    </w:p>
    <w:p w14:paraId="6958AE70">
      <w:pPr>
        <w:jc w:val="both"/>
        <w:rPr>
          <w:rFonts w:hint="default"/>
          <w:lang w:val="en-US"/>
        </w:rPr>
      </w:pPr>
    </w:p>
    <w:p w14:paraId="525C088B">
      <w:pPr>
        <w:jc w:val="both"/>
        <w:rPr>
          <w:rFonts w:hint="default"/>
          <w:b/>
          <w:bCs/>
          <w:lang w:val="en-US"/>
        </w:rPr>
      </w:pPr>
      <w:r>
        <w:rPr>
          <w:rFonts w:hint="default"/>
          <w:b/>
          <w:bCs/>
          <w:lang w:val="en-US"/>
        </w:rPr>
        <w:t>The Global Shift to a Cashless Society</w:t>
      </w:r>
    </w:p>
    <w:p w14:paraId="2F38FF11">
      <w:pPr>
        <w:jc w:val="both"/>
        <w:rPr>
          <w:rFonts w:hint="default"/>
          <w:lang w:val="en-US"/>
        </w:rPr>
      </w:pPr>
      <w:r>
        <w:rPr>
          <w:rFonts w:hint="default"/>
          <w:lang w:val="en-US"/>
        </w:rPr>
        <w:t>Around the world, digital payment systems are gaining traction, reducing the reliance on physical cash. Mobile payment apps, digital wallets, and online banking platforms are becoming the standard, allowing consumers to make secure and instantaneous transactions with a few taps on their smartphones. The transition to digital money redefines cash as a digital unit of value, facilitating easier and more efficient transactions in both local and global markets.</w:t>
      </w:r>
    </w:p>
    <w:p w14:paraId="6EAB33EC">
      <w:pPr>
        <w:jc w:val="both"/>
        <w:rPr>
          <w:rFonts w:hint="default"/>
          <w:lang w:val="en-US"/>
        </w:rPr>
      </w:pPr>
    </w:p>
    <w:p w14:paraId="318AA37A">
      <w:pPr>
        <w:jc w:val="both"/>
        <w:rPr>
          <w:rFonts w:hint="default"/>
          <w:b/>
          <w:bCs/>
          <w:lang w:val="en-US"/>
        </w:rPr>
      </w:pPr>
      <w:r>
        <w:rPr>
          <w:rFonts w:hint="default"/>
          <w:b/>
          <w:bCs/>
          <w:lang w:val="en-US"/>
        </w:rPr>
        <w:t>The Digital Payment Landscape in China</w:t>
      </w:r>
    </w:p>
    <w:p w14:paraId="68E36DF7">
      <w:pPr>
        <w:jc w:val="both"/>
        <w:rPr>
          <w:rFonts w:hint="default"/>
          <w:lang w:val="en-US"/>
        </w:rPr>
      </w:pPr>
      <w:r>
        <w:rPr>
          <w:rFonts w:hint="default"/>
          <w:lang w:val="en-US"/>
        </w:rPr>
        <w:t>In China, consumers can complete transactions with a simple scan of a QR code using their smartphones. Digital wallets such as We Chat Pay, owned by Tencent, and Ali-pay, operated by Ant Group, dominate the market. These platforms allow users to link their bank accounts, store funds in digital wallets, and make payments in stores, online, and even for peer-to-peer transfers.</w:t>
      </w:r>
    </w:p>
    <w:p w14:paraId="3BC4FFF6">
      <w:pPr>
        <w:jc w:val="both"/>
        <w:rPr>
          <w:rFonts w:hint="default"/>
          <w:lang w:val="en-US"/>
        </w:rPr>
      </w:pPr>
    </w:p>
    <w:p w14:paraId="2D7952EC">
      <w:pPr>
        <w:jc w:val="both"/>
        <w:rPr>
          <w:rFonts w:hint="default"/>
          <w:lang w:val="en-US"/>
        </w:rPr>
      </w:pPr>
      <w:r>
        <w:rPr>
          <w:rFonts w:hint="default"/>
          <w:lang w:val="en-US"/>
        </w:rPr>
        <w:t>The convenience and efficiency of digital payments have led to their widespread adoption across all sectors of the economy, from street vendors to luxury retailers. As a result, cash payments have significantly declined, with many businesses opting not to accept cash at all.</w:t>
      </w:r>
    </w:p>
    <w:p w14:paraId="56DAFA73">
      <w:pPr>
        <w:jc w:val="both"/>
        <w:rPr>
          <w:rFonts w:hint="default"/>
          <w:lang w:val="en-US"/>
        </w:rPr>
      </w:pPr>
    </w:p>
    <w:p w14:paraId="0AEB7982">
      <w:pPr>
        <w:jc w:val="both"/>
        <w:rPr>
          <w:rFonts w:hint="default"/>
          <w:b/>
          <w:bCs/>
          <w:lang w:val="en-US"/>
        </w:rPr>
      </w:pPr>
      <w:r>
        <w:rPr>
          <w:rFonts w:hint="default"/>
          <w:b/>
          <w:bCs/>
          <w:lang w:val="en-US"/>
        </w:rPr>
        <w:t>The Banking and Accounting Process Behind Digital Payments</w:t>
      </w:r>
    </w:p>
    <w:p w14:paraId="5B593FB7">
      <w:pPr>
        <w:jc w:val="both"/>
        <w:rPr>
          <w:rFonts w:hint="default"/>
          <w:lang w:val="en-US"/>
        </w:rPr>
      </w:pPr>
      <w:r>
        <w:rPr>
          <w:rFonts w:hint="default"/>
          <w:lang w:val="en-US"/>
        </w:rPr>
        <w:t>While digital payments may seem instantaneous to the user, they involve a series of intricate banking and accounting processes to ensure accuracy, security, and transparency. These processes include:</w:t>
      </w:r>
    </w:p>
    <w:p w14:paraId="25940C4C">
      <w:pPr>
        <w:jc w:val="both"/>
        <w:rPr>
          <w:rFonts w:hint="default"/>
          <w:lang w:val="en-US"/>
        </w:rPr>
      </w:pPr>
    </w:p>
    <w:p w14:paraId="5A136966">
      <w:pPr>
        <w:jc w:val="both"/>
        <w:rPr>
          <w:rFonts w:hint="default"/>
          <w:lang w:val="en-US"/>
        </w:rPr>
      </w:pPr>
      <w:r>
        <w:rPr>
          <w:rFonts w:hint="default"/>
          <w:lang w:val="en-US"/>
        </w:rPr>
        <w:t>1. Debit and Credit</w:t>
      </w:r>
    </w:p>
    <w:p w14:paraId="3B9F5B8C">
      <w:pPr>
        <w:jc w:val="both"/>
        <w:rPr>
          <w:rFonts w:hint="default"/>
          <w:lang w:val="en-US"/>
        </w:rPr>
      </w:pPr>
      <w:r>
        <w:rPr>
          <w:rFonts w:hint="default"/>
          <w:lang w:val="en-US"/>
        </w:rPr>
        <w:t>When a digital payment is initiated, the sender’s account (Drawer) is debited while the receiver’s account (Beneficiary) is credited. This is an accounting process where one ledger (the sender’s) reflects a reduction in balance, and the other ledger (the receiver’s) reflects an increase. The double-entry accounting system ensures that all transactions are balanced.</w:t>
      </w:r>
    </w:p>
    <w:p w14:paraId="3CB13795">
      <w:pPr>
        <w:jc w:val="both"/>
        <w:rPr>
          <w:rFonts w:hint="default"/>
          <w:lang w:val="en-US"/>
        </w:rPr>
      </w:pPr>
    </w:p>
    <w:p w14:paraId="7CB06D88">
      <w:pPr>
        <w:jc w:val="both"/>
        <w:rPr>
          <w:rFonts w:hint="default"/>
          <w:lang w:val="en-US"/>
        </w:rPr>
      </w:pPr>
      <w:r>
        <w:rPr>
          <w:rFonts w:hint="default"/>
          <w:lang w:val="en-US"/>
        </w:rPr>
        <w:t>2. Clearing</w:t>
      </w:r>
    </w:p>
    <w:p w14:paraId="28F85A86">
      <w:pPr>
        <w:jc w:val="both"/>
        <w:rPr>
          <w:rFonts w:hint="default"/>
          <w:lang w:val="en-US"/>
        </w:rPr>
      </w:pPr>
      <w:r>
        <w:rPr>
          <w:rFonts w:hint="default"/>
          <w:lang w:val="en-US"/>
        </w:rPr>
        <w:t>Clearing involves verifying and confirming the transaction details between the participating financial institutions. This step ensures that the transaction is valid, the funds are available, and the transfer instructions are accurate.</w:t>
      </w:r>
    </w:p>
    <w:p w14:paraId="2D054B23">
      <w:pPr>
        <w:jc w:val="both"/>
        <w:rPr>
          <w:rFonts w:hint="default"/>
          <w:lang w:val="en-US"/>
        </w:rPr>
      </w:pPr>
    </w:p>
    <w:p w14:paraId="7F717370">
      <w:pPr>
        <w:jc w:val="both"/>
        <w:rPr>
          <w:rFonts w:hint="default"/>
          <w:lang w:val="en-US"/>
        </w:rPr>
      </w:pPr>
      <w:r>
        <w:rPr>
          <w:rFonts w:hint="default"/>
          <w:lang w:val="en-US"/>
        </w:rPr>
        <w:t>3. Settlement</w:t>
      </w:r>
    </w:p>
    <w:p w14:paraId="22DF6938">
      <w:pPr>
        <w:jc w:val="both"/>
        <w:rPr>
          <w:rFonts w:hint="default"/>
          <w:lang w:val="en-US"/>
        </w:rPr>
      </w:pPr>
      <w:r>
        <w:rPr>
          <w:rFonts w:hint="default"/>
          <w:lang w:val="en-US"/>
        </w:rPr>
        <w:t>Settlement is the actual transfer of funds between banks. In a digital ecosystem, this process is often managed by a central clearing house or through Inter bank settlement systems such as China’s Cross-border Inter bank Payment System (CIPS) for international transactions. Settlement finalizes the transaction, and funds are officially moved from the payer’s bank to the recipient’s bank.</w:t>
      </w:r>
    </w:p>
    <w:p w14:paraId="446180A4">
      <w:pPr>
        <w:jc w:val="both"/>
        <w:rPr>
          <w:rFonts w:hint="default"/>
          <w:lang w:val="en-US"/>
        </w:rPr>
      </w:pPr>
    </w:p>
    <w:p w14:paraId="51593619">
      <w:pPr>
        <w:jc w:val="both"/>
        <w:rPr>
          <w:rFonts w:hint="default"/>
          <w:lang w:val="en-US"/>
        </w:rPr>
      </w:pPr>
      <w:r>
        <w:rPr>
          <w:rFonts w:hint="default"/>
          <w:lang w:val="en-US"/>
        </w:rPr>
        <w:t>4. Balance Adjustment</w:t>
      </w:r>
    </w:p>
    <w:p w14:paraId="798C0ADE">
      <w:pPr>
        <w:jc w:val="both"/>
        <w:rPr>
          <w:rFonts w:hint="default"/>
          <w:lang w:val="en-US"/>
        </w:rPr>
      </w:pPr>
      <w:r>
        <w:rPr>
          <w:rFonts w:hint="default"/>
          <w:lang w:val="en-US"/>
        </w:rPr>
        <w:t>After settlement, both the sender’s and receiver’s banks adjust their respective account balances. This involves updating the internal ledgers to reflect the completed transaction, ensuring that both parties’ accounts accurately display their new balances.</w:t>
      </w:r>
    </w:p>
    <w:p w14:paraId="1DD8A73A">
      <w:pPr>
        <w:jc w:val="both"/>
        <w:rPr>
          <w:rFonts w:hint="default"/>
          <w:lang w:val="en-US"/>
        </w:rPr>
      </w:pPr>
    </w:p>
    <w:p w14:paraId="2929305B">
      <w:pPr>
        <w:jc w:val="both"/>
        <w:rPr>
          <w:rFonts w:hint="default"/>
          <w:lang w:val="en-US"/>
        </w:rPr>
      </w:pPr>
      <w:r>
        <w:rPr>
          <w:rFonts w:hint="default"/>
          <w:lang w:val="en-US"/>
        </w:rPr>
        <w:t>5. Reconciliation</w:t>
      </w:r>
    </w:p>
    <w:p w14:paraId="7ACE905F">
      <w:pPr>
        <w:jc w:val="both"/>
        <w:rPr>
          <w:rFonts w:hint="default"/>
          <w:lang w:val="en-US"/>
        </w:rPr>
      </w:pPr>
      <w:r>
        <w:rPr>
          <w:rFonts w:hint="default"/>
          <w:lang w:val="en-US"/>
        </w:rPr>
        <w:t>Reconciliation is the process of cross-checking all transactions to ensure there are no discrepancies between internal records and external statements. Banks and digital payment platforms routinely perform reconciliation to maintain financial accuracy and integrity, providing a safeguard against errors or fraudulent transactions.</w:t>
      </w:r>
    </w:p>
    <w:p w14:paraId="540C4B41">
      <w:pPr>
        <w:jc w:val="both"/>
        <w:rPr>
          <w:rFonts w:hint="default"/>
          <w:lang w:val="en-US"/>
        </w:rPr>
      </w:pPr>
    </w:p>
    <w:p w14:paraId="2D7076BA">
      <w:pPr>
        <w:jc w:val="both"/>
        <w:rPr>
          <w:rFonts w:hint="default"/>
          <w:b/>
          <w:bCs/>
          <w:lang w:val="en-US"/>
        </w:rPr>
      </w:pPr>
      <w:r>
        <w:rPr>
          <w:rFonts w:hint="default"/>
          <w:b/>
          <w:bCs/>
          <w:lang w:val="en-US"/>
        </w:rPr>
        <w:t>Conclusion</w:t>
      </w:r>
    </w:p>
    <w:p w14:paraId="73A587C4">
      <w:pPr>
        <w:jc w:val="both"/>
        <w:rPr>
          <w:rFonts w:hint="default"/>
          <w:lang w:val="en-US"/>
        </w:rPr>
      </w:pPr>
      <w:r>
        <w:rPr>
          <w:rFonts w:hint="default"/>
          <w:lang w:val="en-US"/>
        </w:rPr>
        <w:t>The digital payment revolution in China is a microcosm of a broader global movement towards a cashless society. As technology advances and digital payment systems proliferate, the concept of money as a tangible asset continues to diminish. Instead, cash is evolving into a digital unit of value, offering unparalleled convenience, security, and efficiency. As countries worldwide adopt digital payment technologies, the traditional idea of cash is being redefined, setting the stage for a truly global cashless economy.</w:t>
      </w:r>
    </w:p>
    <w:p w14:paraId="13252721">
      <w:pPr>
        <w:jc w:val="both"/>
        <w:rPr>
          <w:rFonts w:hint="default"/>
          <w:lang w:val="en-US"/>
        </w:rPr>
      </w:pPr>
    </w:p>
    <w:p w14:paraId="65EFB3F5">
      <w:pPr>
        <w:jc w:val="both"/>
        <w:rPr>
          <w:rFonts w:hint="default"/>
          <w:lang w:val="en-US"/>
        </w:rPr>
      </w:pPr>
    </w:p>
    <w:p w14:paraId="0D24BB08">
      <w:pPr>
        <w:jc w:val="both"/>
        <w:rPr>
          <w:rFonts w:hint="default"/>
          <w:lang w:val="en-US"/>
        </w:rPr>
      </w:pPr>
    </w:p>
    <w:p w14:paraId="5EBCDB5F">
      <w:pPr>
        <w:jc w:val="both"/>
        <w:rPr>
          <w:rFonts w:hint="default"/>
          <w:lang w:val="en-US"/>
        </w:rPr>
      </w:pPr>
    </w:p>
    <w:p w14:paraId="690A42AB">
      <w:pPr>
        <w:jc w:val="both"/>
        <w:rPr>
          <w:rFonts w:hint="default"/>
          <w:lang w:val="en-US"/>
        </w:rPr>
      </w:pPr>
    </w:p>
    <w:p w14:paraId="06B8CB65">
      <w:pPr>
        <w:jc w:val="both"/>
        <w:rPr>
          <w:rFonts w:hint="default"/>
          <w:lang w:val="en-US"/>
        </w:rPr>
      </w:pPr>
    </w:p>
    <w:p w14:paraId="069C9D75">
      <w:pPr>
        <w:jc w:val="both"/>
        <w:rPr>
          <w:rFonts w:hint="default"/>
          <w:lang w:val="en-US"/>
        </w:rPr>
      </w:pPr>
    </w:p>
    <w:p w14:paraId="4D22FA90">
      <w:pPr>
        <w:jc w:val="both"/>
        <w:rPr>
          <w:rFonts w:hint="default"/>
          <w:lang w:val="en-US"/>
        </w:rPr>
      </w:pPr>
    </w:p>
    <w:p w14:paraId="644A9F85">
      <w:pPr>
        <w:jc w:val="both"/>
        <w:rPr>
          <w:rFonts w:hint="default"/>
          <w:lang w:val="en-US"/>
        </w:rPr>
      </w:pPr>
    </w:p>
    <w:p w14:paraId="70E2ED95">
      <w:pPr>
        <w:jc w:val="both"/>
        <w:rPr>
          <w:rFonts w:hint="default"/>
          <w:lang w:val="en-US"/>
        </w:rPr>
      </w:pPr>
    </w:p>
    <w:p w14:paraId="74A240F1">
      <w:pPr>
        <w:jc w:val="both"/>
        <w:rPr>
          <w:rFonts w:hint="default"/>
          <w:lang w:val="en-US"/>
        </w:rPr>
      </w:pPr>
    </w:p>
    <w:p w14:paraId="32EA9078">
      <w:pPr>
        <w:jc w:val="both"/>
        <w:rPr>
          <w:rFonts w:hint="default"/>
          <w:lang w:val="en-US"/>
        </w:rPr>
      </w:pPr>
    </w:p>
    <w:p w14:paraId="3DA7640A">
      <w:pPr>
        <w:jc w:val="both"/>
        <w:rPr>
          <w:rFonts w:hint="default"/>
          <w:lang w:val="en-US"/>
        </w:rPr>
      </w:pPr>
    </w:p>
    <w:p w14:paraId="3E3EED53">
      <w:pPr>
        <w:jc w:val="both"/>
        <w:rPr>
          <w:rFonts w:hint="default"/>
          <w:lang w:val="en-US"/>
        </w:rPr>
      </w:pPr>
    </w:p>
    <w:p w14:paraId="4B437F6D">
      <w:pPr>
        <w:jc w:val="both"/>
        <w:rPr>
          <w:rFonts w:hint="default"/>
          <w:lang w:val="en-US"/>
        </w:rPr>
      </w:pPr>
    </w:p>
    <w:p w14:paraId="78581DBA">
      <w:pPr>
        <w:jc w:val="both"/>
        <w:rPr>
          <w:rFonts w:hint="default"/>
          <w:lang w:val="en-US"/>
        </w:rPr>
      </w:pPr>
    </w:p>
    <w:p w14:paraId="53AC13E5">
      <w:pPr>
        <w:jc w:val="both"/>
        <w:rPr>
          <w:rFonts w:hint="default"/>
          <w:lang w:val="en-US"/>
        </w:rPr>
      </w:pPr>
    </w:p>
    <w:p w14:paraId="1E5A22C6">
      <w:pPr>
        <w:jc w:val="both"/>
        <w:rPr>
          <w:rFonts w:hint="default"/>
          <w:lang w:val="en-US"/>
        </w:rPr>
      </w:pPr>
    </w:p>
    <w:p w14:paraId="426A4B20">
      <w:pPr>
        <w:jc w:val="both"/>
        <w:rPr>
          <w:rFonts w:hint="default"/>
          <w:lang w:val="en-US"/>
        </w:rPr>
      </w:pPr>
    </w:p>
    <w:p w14:paraId="693A93B5">
      <w:pPr>
        <w:jc w:val="both"/>
        <w:rPr>
          <w:rFonts w:hint="default"/>
          <w:lang w:val="en-US"/>
        </w:rPr>
      </w:pPr>
    </w:p>
    <w:p w14:paraId="64AF67E5">
      <w:pPr>
        <w:jc w:val="both"/>
        <w:rPr>
          <w:rFonts w:hint="default"/>
          <w:lang w:val="en-US"/>
        </w:rPr>
      </w:pPr>
    </w:p>
    <w:p w14:paraId="543C24A3">
      <w:pPr>
        <w:jc w:val="both"/>
        <w:rPr>
          <w:rFonts w:hint="default"/>
          <w:lang w:val="en-US"/>
        </w:rPr>
      </w:pPr>
    </w:p>
    <w:p w14:paraId="13609BA3">
      <w:pPr>
        <w:jc w:val="both"/>
        <w:rPr>
          <w:rFonts w:hint="default"/>
          <w:lang w:val="en-US"/>
        </w:rPr>
      </w:pPr>
    </w:p>
    <w:p w14:paraId="30A848BE">
      <w:pPr>
        <w:jc w:val="both"/>
        <w:rPr>
          <w:rFonts w:hint="default"/>
          <w:lang w:val="en-US"/>
        </w:rPr>
      </w:pPr>
    </w:p>
    <w:p w14:paraId="19184BB1">
      <w:pPr>
        <w:jc w:val="both"/>
        <w:rPr>
          <w:rFonts w:hint="default"/>
          <w:lang w:val="en-US"/>
        </w:rPr>
      </w:pPr>
    </w:p>
    <w:p w14:paraId="037A2E11">
      <w:pPr>
        <w:jc w:val="both"/>
        <w:rPr>
          <w:rFonts w:hint="default"/>
          <w:lang w:val="en-US"/>
        </w:rPr>
      </w:pPr>
    </w:p>
    <w:p w14:paraId="46387D9F">
      <w:pPr>
        <w:jc w:val="both"/>
        <w:rPr>
          <w:rFonts w:hint="default"/>
          <w:lang w:val="en-US"/>
        </w:rPr>
      </w:pPr>
    </w:p>
    <w:p w14:paraId="545A9A5D">
      <w:pPr>
        <w:jc w:val="both"/>
        <w:rPr>
          <w:rFonts w:hint="default"/>
          <w:lang w:val="en-US"/>
        </w:rPr>
      </w:pPr>
    </w:p>
    <w:p w14:paraId="15E8DA63">
      <w:pPr>
        <w:jc w:val="both"/>
        <w:rPr>
          <w:rFonts w:hint="default"/>
          <w:lang w:val="en-US"/>
        </w:rPr>
      </w:pPr>
    </w:p>
    <w:p w14:paraId="74899E42">
      <w:pPr>
        <w:jc w:val="both"/>
        <w:rPr>
          <w:rFonts w:hint="default"/>
          <w:lang w:val="en-US"/>
        </w:rPr>
      </w:pPr>
    </w:p>
    <w:p w14:paraId="65A9F9CA">
      <w:pPr>
        <w:jc w:val="both"/>
        <w:rPr>
          <w:rFonts w:hint="default"/>
          <w:lang w:val="en-US"/>
        </w:rPr>
      </w:pPr>
    </w:p>
    <w:p w14:paraId="57AF7D0A">
      <w:pPr>
        <w:jc w:val="both"/>
        <w:rPr>
          <w:rFonts w:hint="default"/>
          <w:lang w:val="en-US"/>
        </w:rPr>
      </w:pPr>
    </w:p>
    <w:p w14:paraId="721F736D">
      <w:pPr>
        <w:jc w:val="both"/>
        <w:rPr>
          <w:rFonts w:hint="default"/>
          <w:lang w:val="en-US"/>
        </w:rPr>
      </w:pPr>
    </w:p>
    <w:p w14:paraId="7CC7327B">
      <w:pPr>
        <w:jc w:val="both"/>
        <w:rPr>
          <w:rFonts w:hint="default"/>
          <w:lang w:val="en-US"/>
        </w:rPr>
      </w:pPr>
    </w:p>
    <w:p w14:paraId="4FEF0D7B">
      <w:pPr>
        <w:jc w:val="both"/>
        <w:rPr>
          <w:rFonts w:hint="default"/>
          <w:lang w:val="en-US"/>
        </w:rPr>
      </w:pPr>
    </w:p>
    <w:p w14:paraId="4B4F67FC">
      <w:pPr>
        <w:jc w:val="both"/>
        <w:rPr>
          <w:rFonts w:hint="default"/>
          <w:lang w:val="en-US"/>
        </w:rPr>
      </w:pPr>
    </w:p>
    <w:p w14:paraId="11ED54D9">
      <w:pPr>
        <w:jc w:val="both"/>
        <w:rPr>
          <w:rFonts w:hint="default"/>
          <w:lang w:val="en-US"/>
        </w:rPr>
      </w:pPr>
    </w:p>
    <w:p w14:paraId="04798719">
      <w:pPr>
        <w:jc w:val="both"/>
        <w:rPr>
          <w:rFonts w:hint="default"/>
          <w:lang w:val="en-US"/>
        </w:rPr>
      </w:pPr>
    </w:p>
    <w:p w14:paraId="0EC3D432">
      <w:pPr>
        <w:jc w:val="both"/>
        <w:rPr>
          <w:rFonts w:hint="default"/>
          <w:lang w:val="en-US"/>
        </w:rPr>
      </w:pPr>
    </w:p>
    <w:p w14:paraId="40EFE80B">
      <w:pPr>
        <w:jc w:val="both"/>
        <w:rPr>
          <w:rFonts w:hint="default"/>
          <w:lang w:val="en-US"/>
        </w:rPr>
      </w:pPr>
    </w:p>
    <w:p w14:paraId="0009F542">
      <w:pPr>
        <w:jc w:val="both"/>
        <w:rPr>
          <w:rFonts w:hint="default"/>
          <w:lang w:val="en-US"/>
        </w:rPr>
      </w:pPr>
    </w:p>
    <w:p w14:paraId="2FB1AEB1">
      <w:pPr>
        <w:jc w:val="both"/>
        <w:rPr>
          <w:rFonts w:hint="default"/>
          <w:lang w:val="en-US"/>
        </w:rPr>
      </w:pPr>
    </w:p>
    <w:p w14:paraId="6593D6A5">
      <w:pPr>
        <w:jc w:val="center"/>
        <w:rPr>
          <w:rFonts w:hint="default"/>
          <w:b/>
          <w:bCs/>
          <w:sz w:val="36"/>
          <w:szCs w:val="36"/>
          <w:lang w:val="en-US"/>
        </w:rPr>
      </w:pPr>
      <w:r>
        <w:rPr>
          <w:rFonts w:hint="default"/>
          <w:b/>
          <w:bCs/>
          <w:sz w:val="36"/>
          <w:szCs w:val="36"/>
          <w:lang w:val="en-US"/>
        </w:rPr>
        <w:br w:type="textWrapping"/>
      </w:r>
      <w:r>
        <w:rPr>
          <w:rFonts w:hint="default"/>
          <w:b/>
          <w:bCs/>
          <w:sz w:val="36"/>
          <w:szCs w:val="36"/>
          <w:lang w:val="en-US"/>
        </w:rPr>
        <w:t>DIGITAL REPRESENTATION OF MONEY</w:t>
      </w:r>
    </w:p>
    <w:p w14:paraId="45157D2B">
      <w:pPr>
        <w:jc w:val="both"/>
        <w:rPr>
          <w:rFonts w:hint="default"/>
          <w:lang w:val="en-US"/>
        </w:rPr>
      </w:pPr>
    </w:p>
    <w:p w14:paraId="3FDF4617">
      <w:pPr>
        <w:jc w:val="both"/>
        <w:rPr>
          <w:rFonts w:hint="default"/>
          <w:lang w:val="en-US"/>
        </w:rPr>
      </w:pPr>
      <w:r>
        <w:rPr>
          <w:rFonts w:hint="default"/>
          <w:lang w:val="en-US"/>
        </w:rPr>
        <w:t xml:space="preserve">In a cashless society, funds or money have essentially become digital representations of value, enabling seamless and instantaneous financial transactions across borders and through various payment methods, including credit or debit cards, and mobile payment systems. </w:t>
      </w:r>
    </w:p>
    <w:p w14:paraId="0F057B23">
      <w:pPr>
        <w:jc w:val="both"/>
        <w:rPr>
          <w:rFonts w:hint="default"/>
          <w:lang w:val="en-US"/>
        </w:rPr>
      </w:pPr>
    </w:p>
    <w:p w14:paraId="74EDB87E">
      <w:pPr>
        <w:jc w:val="both"/>
        <w:rPr>
          <w:rFonts w:hint="default"/>
          <w:lang w:val="en-US"/>
        </w:rPr>
      </w:pPr>
    </w:p>
    <w:p w14:paraId="2A592AFD">
      <w:pPr>
        <w:jc w:val="both"/>
        <w:rPr>
          <w:rFonts w:hint="default"/>
          <w:b/>
          <w:bCs/>
          <w:lang w:val="en-US"/>
        </w:rPr>
      </w:pPr>
      <w:r>
        <w:rPr>
          <w:rFonts w:hint="default"/>
          <w:b/>
          <w:bCs/>
          <w:lang w:val="en-US"/>
        </w:rPr>
        <w:t>1. Digital Representation of Money</w:t>
      </w:r>
    </w:p>
    <w:p w14:paraId="2FCD1303">
      <w:pPr>
        <w:jc w:val="both"/>
        <w:rPr>
          <w:rFonts w:hint="default"/>
          <w:lang w:val="en-US"/>
        </w:rPr>
      </w:pPr>
      <w:r>
        <w:rPr>
          <w:rFonts w:hint="default"/>
          <w:lang w:val="en-US"/>
        </w:rPr>
        <w:t>Money in a digital form exists as a unit of value recorded electronically. These units are stored in digital ledgers maintained by banks, financial institutions, or payment service providers. Rather than physical cash exchanging hands, transactions involve the transfer of digital credits between accounts.</w:t>
      </w:r>
    </w:p>
    <w:p w14:paraId="1A2443C5">
      <w:pPr>
        <w:jc w:val="both"/>
        <w:rPr>
          <w:rFonts w:hint="default"/>
          <w:lang w:val="en-US"/>
        </w:rPr>
      </w:pPr>
    </w:p>
    <w:p w14:paraId="616B7C5C">
      <w:pPr>
        <w:jc w:val="both"/>
        <w:rPr>
          <w:rFonts w:hint="default"/>
          <w:b/>
          <w:bCs/>
          <w:lang w:val="en-US"/>
        </w:rPr>
      </w:pPr>
      <w:r>
        <w:rPr>
          <w:rFonts w:hint="default"/>
          <w:b/>
          <w:bCs/>
          <w:lang w:val="en-US"/>
        </w:rPr>
        <w:t>2. Cross-Border Transfers</w:t>
      </w:r>
    </w:p>
    <w:p w14:paraId="6D688E76">
      <w:pPr>
        <w:jc w:val="both"/>
        <w:rPr>
          <w:rFonts w:hint="default"/>
          <w:lang w:val="en-US"/>
        </w:rPr>
      </w:pPr>
      <w:r>
        <w:rPr>
          <w:rFonts w:hint="default"/>
          <w:lang w:val="en-US"/>
        </w:rPr>
        <w:t>When transferring funds internationally, the process generally involves:</w:t>
      </w:r>
    </w:p>
    <w:p w14:paraId="1AD52CEC">
      <w:pPr>
        <w:jc w:val="both"/>
        <w:rPr>
          <w:rFonts w:hint="default"/>
          <w:lang w:val="en-US"/>
        </w:rPr>
      </w:pPr>
    </w:p>
    <w:p w14:paraId="138621D8">
      <w:pPr>
        <w:numPr>
          <w:ilvl w:val="0"/>
          <w:numId w:val="11"/>
        </w:numPr>
        <w:ind w:left="845" w:leftChars="0" w:hanging="425" w:firstLineChars="0"/>
        <w:jc w:val="both"/>
        <w:rPr>
          <w:rFonts w:hint="default"/>
          <w:lang w:val="en-US"/>
        </w:rPr>
      </w:pPr>
      <w:r>
        <w:rPr>
          <w:rFonts w:hint="default"/>
          <w:lang w:val="en-US"/>
        </w:rPr>
        <w:t xml:space="preserve">Initiation: </w:t>
      </w:r>
    </w:p>
    <w:p w14:paraId="1B62A8F4">
      <w:pPr>
        <w:ind w:firstLine="720" w:firstLineChars="0"/>
        <w:jc w:val="both"/>
        <w:rPr>
          <w:rFonts w:hint="default"/>
          <w:lang w:val="en-US"/>
        </w:rPr>
      </w:pPr>
      <w:r>
        <w:rPr>
          <w:rFonts w:hint="default"/>
          <w:lang w:val="en-US"/>
        </w:rPr>
        <w:t xml:space="preserve">A sender instructs their bank or payment service to transfer a specified amount to a recipient </w:t>
      </w:r>
      <w:r>
        <w:rPr>
          <w:rFonts w:hint="default"/>
          <w:lang w:val="en-US"/>
        </w:rPr>
        <w:tab/>
      </w:r>
      <w:r>
        <w:rPr>
          <w:rFonts w:hint="default"/>
          <w:lang w:val="en-US"/>
        </w:rPr>
        <w:t>in another country.</w:t>
      </w:r>
    </w:p>
    <w:p w14:paraId="6D080E68">
      <w:pPr>
        <w:numPr>
          <w:ilvl w:val="0"/>
          <w:numId w:val="0"/>
        </w:numPr>
        <w:ind w:leftChars="0"/>
        <w:jc w:val="both"/>
        <w:rPr>
          <w:rFonts w:hint="default"/>
          <w:lang w:val="en-US"/>
        </w:rPr>
      </w:pPr>
    </w:p>
    <w:p w14:paraId="425A102F">
      <w:pPr>
        <w:numPr>
          <w:ilvl w:val="0"/>
          <w:numId w:val="11"/>
        </w:numPr>
        <w:ind w:left="845" w:leftChars="0" w:hanging="425" w:firstLineChars="0"/>
        <w:jc w:val="both"/>
        <w:rPr>
          <w:rFonts w:hint="default"/>
          <w:lang w:val="en-US"/>
        </w:rPr>
      </w:pPr>
      <w:r>
        <w:rPr>
          <w:rFonts w:hint="default"/>
          <w:lang w:val="en-US"/>
        </w:rPr>
        <w:t xml:space="preserve">Conversion &amp; Messaging: </w:t>
      </w:r>
    </w:p>
    <w:p w14:paraId="678296D8">
      <w:pPr>
        <w:ind w:firstLine="720" w:firstLineChars="0"/>
        <w:jc w:val="both"/>
        <w:rPr>
          <w:rFonts w:hint="default"/>
          <w:lang w:val="en-US"/>
        </w:rPr>
      </w:pPr>
      <w:r>
        <w:rPr>
          <w:rFonts w:hint="default"/>
          <w:lang w:val="en-US"/>
        </w:rPr>
        <w:t xml:space="preserve">The bank converts the funds to the recipient's currency if needed and sends a secure digital </w:t>
      </w:r>
      <w:r>
        <w:rPr>
          <w:rFonts w:hint="default"/>
          <w:lang w:val="en-US"/>
        </w:rPr>
        <w:tab/>
      </w:r>
      <w:r>
        <w:rPr>
          <w:rFonts w:hint="default"/>
          <w:lang w:val="en-US"/>
        </w:rPr>
        <w:t>message (e.g., using SWIFT) to the recipient’s bank, indicating the transfer.</w:t>
      </w:r>
    </w:p>
    <w:p w14:paraId="28037163">
      <w:pPr>
        <w:jc w:val="both"/>
        <w:rPr>
          <w:rFonts w:hint="default"/>
          <w:lang w:val="en-US"/>
        </w:rPr>
      </w:pPr>
    </w:p>
    <w:p w14:paraId="0591EE72">
      <w:pPr>
        <w:numPr>
          <w:ilvl w:val="0"/>
          <w:numId w:val="11"/>
        </w:numPr>
        <w:ind w:left="845" w:leftChars="0" w:hanging="425" w:firstLineChars="0"/>
        <w:jc w:val="both"/>
        <w:rPr>
          <w:rFonts w:hint="default"/>
          <w:lang w:val="en-US"/>
        </w:rPr>
      </w:pPr>
      <w:r>
        <w:rPr>
          <w:rFonts w:hint="default"/>
          <w:lang w:val="en-US"/>
        </w:rPr>
        <w:t xml:space="preserve">Settlement: </w:t>
      </w:r>
    </w:p>
    <w:p w14:paraId="021C4683">
      <w:pPr>
        <w:ind w:firstLine="720" w:firstLineChars="0"/>
        <w:jc w:val="both"/>
        <w:rPr>
          <w:rFonts w:hint="default"/>
          <w:lang w:val="en-US"/>
        </w:rPr>
      </w:pPr>
      <w:r>
        <w:rPr>
          <w:rFonts w:hint="default"/>
          <w:lang w:val="en-US"/>
        </w:rPr>
        <w:t xml:space="preserve">The recipient’s bank credits the recipient’s account with the digital funds, often using </w:t>
      </w:r>
      <w:r>
        <w:rPr>
          <w:rFonts w:hint="default"/>
          <w:lang w:val="en-US"/>
        </w:rPr>
        <w:tab/>
      </w:r>
      <w:r>
        <w:rPr>
          <w:rFonts w:hint="default"/>
          <w:lang w:val="en-US"/>
        </w:rPr>
        <w:t>intermediary banks or a correspondent banking network to facilitate the transfer.</w:t>
      </w:r>
    </w:p>
    <w:p w14:paraId="03276BF1">
      <w:pPr>
        <w:jc w:val="both"/>
        <w:rPr>
          <w:rFonts w:hint="default"/>
          <w:lang w:val="en-US"/>
        </w:rPr>
      </w:pPr>
    </w:p>
    <w:p w14:paraId="3EE55468">
      <w:pPr>
        <w:numPr>
          <w:ilvl w:val="0"/>
          <w:numId w:val="11"/>
        </w:numPr>
        <w:ind w:left="845" w:leftChars="0" w:hanging="425" w:firstLineChars="0"/>
        <w:jc w:val="both"/>
        <w:rPr>
          <w:rFonts w:hint="default"/>
          <w:lang w:val="en-US"/>
        </w:rPr>
      </w:pPr>
      <w:r>
        <w:rPr>
          <w:rFonts w:hint="default"/>
          <w:lang w:val="en-US"/>
        </w:rPr>
        <w:t>Ledger Updates: Both banks update their digital ledgers to reflect the debit from the sender and the credit to the recipient.</w:t>
      </w:r>
    </w:p>
    <w:p w14:paraId="559295A0">
      <w:pPr>
        <w:jc w:val="both"/>
        <w:rPr>
          <w:rFonts w:hint="default"/>
          <w:lang w:val="en-US"/>
        </w:rPr>
      </w:pPr>
    </w:p>
    <w:p w14:paraId="1CF3799D">
      <w:pPr>
        <w:jc w:val="both"/>
        <w:rPr>
          <w:rFonts w:hint="default"/>
          <w:lang w:val="en-US"/>
        </w:rPr>
      </w:pPr>
    </w:p>
    <w:p w14:paraId="062B7F88">
      <w:pPr>
        <w:jc w:val="both"/>
        <w:rPr>
          <w:rFonts w:hint="default"/>
          <w:b/>
          <w:bCs/>
          <w:lang w:val="en-US"/>
        </w:rPr>
      </w:pPr>
      <w:r>
        <w:rPr>
          <w:rFonts w:hint="default"/>
          <w:b/>
          <w:bCs/>
          <w:lang w:val="en-US"/>
        </w:rPr>
        <w:t>3. Card Payments (Credit/Debit Cards)</w:t>
      </w:r>
    </w:p>
    <w:p w14:paraId="78DDBE57">
      <w:pPr>
        <w:jc w:val="both"/>
        <w:rPr>
          <w:rFonts w:hint="default"/>
          <w:lang w:val="en-US"/>
        </w:rPr>
      </w:pPr>
      <w:r>
        <w:rPr>
          <w:rFonts w:hint="default"/>
          <w:lang w:val="en-US"/>
        </w:rPr>
        <w:t>When paying with a credit or debit card:</w:t>
      </w:r>
    </w:p>
    <w:p w14:paraId="6102B81F">
      <w:pPr>
        <w:jc w:val="both"/>
        <w:rPr>
          <w:rFonts w:hint="default"/>
          <w:lang w:val="en-US"/>
        </w:rPr>
      </w:pPr>
    </w:p>
    <w:p w14:paraId="13866729">
      <w:pPr>
        <w:numPr>
          <w:ilvl w:val="0"/>
          <w:numId w:val="12"/>
        </w:numPr>
        <w:ind w:left="845" w:leftChars="0" w:hanging="425" w:firstLineChars="0"/>
        <w:jc w:val="both"/>
        <w:rPr>
          <w:rFonts w:hint="default"/>
          <w:lang w:val="en-US"/>
        </w:rPr>
      </w:pPr>
      <w:r>
        <w:rPr>
          <w:rFonts w:hint="default"/>
          <w:lang w:val="en-US"/>
        </w:rPr>
        <w:t xml:space="preserve">Transaction Authorization: </w:t>
      </w:r>
    </w:p>
    <w:p w14:paraId="630A1129">
      <w:pPr>
        <w:ind w:firstLine="720" w:firstLineChars="0"/>
        <w:jc w:val="both"/>
        <w:rPr>
          <w:rFonts w:hint="default"/>
          <w:lang w:val="en-US"/>
        </w:rPr>
      </w:pPr>
      <w:r>
        <w:rPr>
          <w:rFonts w:hint="default"/>
          <w:lang w:val="en-US"/>
        </w:rPr>
        <w:t xml:space="preserve">The merchant sends a digital request to the payment processor, which communicates with </w:t>
      </w:r>
      <w:r>
        <w:rPr>
          <w:rFonts w:hint="default"/>
          <w:lang w:val="en-US"/>
        </w:rPr>
        <w:tab/>
      </w:r>
      <w:r>
        <w:rPr>
          <w:rFonts w:hint="default"/>
          <w:lang w:val="en-US"/>
        </w:rPr>
        <w:t>the cardholders bank.</w:t>
      </w:r>
    </w:p>
    <w:p w14:paraId="4FA41966">
      <w:pPr>
        <w:jc w:val="both"/>
        <w:rPr>
          <w:rFonts w:hint="default"/>
          <w:lang w:val="en-US"/>
        </w:rPr>
      </w:pPr>
    </w:p>
    <w:p w14:paraId="631C1EB9">
      <w:pPr>
        <w:numPr>
          <w:ilvl w:val="0"/>
          <w:numId w:val="12"/>
        </w:numPr>
        <w:ind w:left="845" w:leftChars="0" w:hanging="425" w:firstLineChars="0"/>
        <w:jc w:val="both"/>
        <w:rPr>
          <w:rFonts w:hint="default"/>
          <w:lang w:val="en-US"/>
        </w:rPr>
      </w:pPr>
      <w:r>
        <w:rPr>
          <w:rFonts w:hint="default"/>
          <w:lang w:val="en-US"/>
        </w:rPr>
        <w:t xml:space="preserve">Verification: </w:t>
      </w:r>
    </w:p>
    <w:p w14:paraId="328D0068">
      <w:pPr>
        <w:ind w:firstLine="720" w:firstLineChars="0"/>
        <w:jc w:val="both"/>
        <w:rPr>
          <w:rFonts w:hint="default"/>
          <w:lang w:val="en-US"/>
        </w:rPr>
      </w:pPr>
      <w:r>
        <w:rPr>
          <w:rFonts w:hint="default"/>
          <w:lang w:val="en-US"/>
        </w:rPr>
        <w:t xml:space="preserve">The bank verifies if sufficient funds or credit is available and approves or declines the </w:t>
      </w:r>
      <w:r>
        <w:rPr>
          <w:rFonts w:hint="default"/>
          <w:lang w:val="en-US"/>
        </w:rPr>
        <w:tab/>
      </w:r>
      <w:r>
        <w:rPr>
          <w:rFonts w:hint="default"/>
          <w:lang w:val="en-US"/>
        </w:rPr>
        <w:t>transaction.</w:t>
      </w:r>
    </w:p>
    <w:p w14:paraId="02A54B70">
      <w:pPr>
        <w:jc w:val="both"/>
        <w:rPr>
          <w:rFonts w:hint="default"/>
          <w:lang w:val="en-US"/>
        </w:rPr>
      </w:pPr>
    </w:p>
    <w:p w14:paraId="5DF7B6D8">
      <w:pPr>
        <w:numPr>
          <w:ilvl w:val="0"/>
          <w:numId w:val="12"/>
        </w:numPr>
        <w:ind w:left="845" w:leftChars="0" w:hanging="425" w:firstLineChars="0"/>
        <w:jc w:val="both"/>
        <w:rPr>
          <w:rFonts w:hint="default"/>
          <w:lang w:val="en-US"/>
        </w:rPr>
      </w:pPr>
      <w:r>
        <w:rPr>
          <w:rFonts w:hint="default"/>
          <w:lang w:val="en-US"/>
        </w:rPr>
        <w:t>Settlement: If approved, the bank transfers the digital value to the merchant’s account, updating the digital balances of both parties.</w:t>
      </w:r>
    </w:p>
    <w:p w14:paraId="3D06554D">
      <w:pPr>
        <w:numPr>
          <w:ilvl w:val="0"/>
          <w:numId w:val="0"/>
        </w:numPr>
        <w:jc w:val="both"/>
        <w:rPr>
          <w:rFonts w:hint="default"/>
          <w:lang w:val="en-US"/>
        </w:rPr>
      </w:pPr>
    </w:p>
    <w:p w14:paraId="21A5A688">
      <w:pPr>
        <w:numPr>
          <w:ilvl w:val="0"/>
          <w:numId w:val="0"/>
        </w:numPr>
        <w:jc w:val="both"/>
        <w:rPr>
          <w:rFonts w:hint="default"/>
          <w:lang w:val="en-US"/>
        </w:rPr>
      </w:pPr>
    </w:p>
    <w:p w14:paraId="2B7AC5C7">
      <w:pPr>
        <w:numPr>
          <w:ilvl w:val="0"/>
          <w:numId w:val="0"/>
        </w:numPr>
        <w:jc w:val="both"/>
        <w:rPr>
          <w:rFonts w:hint="default"/>
          <w:lang w:val="en-US"/>
        </w:rPr>
      </w:pPr>
    </w:p>
    <w:p w14:paraId="198D61EF">
      <w:pPr>
        <w:numPr>
          <w:ilvl w:val="0"/>
          <w:numId w:val="0"/>
        </w:numPr>
        <w:jc w:val="both"/>
        <w:rPr>
          <w:rFonts w:hint="default"/>
          <w:lang w:val="en-US"/>
        </w:rPr>
      </w:pPr>
    </w:p>
    <w:p w14:paraId="119985CD">
      <w:pPr>
        <w:numPr>
          <w:ilvl w:val="0"/>
          <w:numId w:val="0"/>
        </w:numPr>
        <w:jc w:val="both"/>
        <w:rPr>
          <w:rFonts w:hint="default"/>
          <w:lang w:val="en-US"/>
        </w:rPr>
      </w:pPr>
    </w:p>
    <w:p w14:paraId="7E51C9C4">
      <w:pPr>
        <w:numPr>
          <w:ilvl w:val="0"/>
          <w:numId w:val="0"/>
        </w:numPr>
        <w:jc w:val="both"/>
        <w:rPr>
          <w:rFonts w:hint="default"/>
          <w:lang w:val="en-US"/>
        </w:rPr>
      </w:pPr>
    </w:p>
    <w:p w14:paraId="4F799F07">
      <w:pPr>
        <w:numPr>
          <w:ilvl w:val="0"/>
          <w:numId w:val="0"/>
        </w:numPr>
        <w:jc w:val="both"/>
        <w:rPr>
          <w:rFonts w:hint="default"/>
          <w:lang w:val="en-US"/>
        </w:rPr>
      </w:pPr>
    </w:p>
    <w:p w14:paraId="14657F97">
      <w:pPr>
        <w:numPr>
          <w:ilvl w:val="0"/>
          <w:numId w:val="0"/>
        </w:numPr>
        <w:jc w:val="both"/>
        <w:rPr>
          <w:rFonts w:hint="default"/>
          <w:lang w:val="en-US"/>
        </w:rPr>
      </w:pPr>
      <w:r>
        <w:rPr>
          <w:rFonts w:hint="default"/>
          <w:lang w:val="en-US"/>
        </w:rPr>
        <w:br w:type="textWrapping"/>
      </w:r>
    </w:p>
    <w:p w14:paraId="1B90E2E0">
      <w:pPr>
        <w:jc w:val="both"/>
        <w:rPr>
          <w:rFonts w:hint="default"/>
          <w:lang w:val="en-US"/>
        </w:rPr>
      </w:pPr>
    </w:p>
    <w:p w14:paraId="00575CC5">
      <w:pPr>
        <w:jc w:val="both"/>
        <w:rPr>
          <w:rFonts w:hint="default"/>
          <w:b/>
          <w:bCs/>
          <w:lang w:val="en-US"/>
        </w:rPr>
      </w:pPr>
      <w:r>
        <w:rPr>
          <w:rFonts w:hint="default"/>
          <w:b/>
          <w:bCs/>
          <w:lang w:val="en-US"/>
        </w:rPr>
        <w:t>4. Mobile Payment Systems (e.g., Apple Pay, Google Pay)</w:t>
      </w:r>
    </w:p>
    <w:p w14:paraId="1BC4C49E">
      <w:pPr>
        <w:jc w:val="both"/>
        <w:rPr>
          <w:rFonts w:hint="default"/>
          <w:lang w:val="en-US"/>
        </w:rPr>
      </w:pPr>
      <w:r>
        <w:rPr>
          <w:rFonts w:hint="default"/>
          <w:lang w:val="en-US"/>
        </w:rPr>
        <w:t>Tokenization:</w:t>
      </w:r>
    </w:p>
    <w:p w14:paraId="28ED21B7">
      <w:pPr>
        <w:jc w:val="both"/>
        <w:rPr>
          <w:rFonts w:hint="default"/>
          <w:lang w:val="en-US"/>
        </w:rPr>
      </w:pPr>
      <w:r>
        <w:rPr>
          <w:rFonts w:hint="default"/>
          <w:lang w:val="en-US"/>
        </w:rPr>
        <w:t xml:space="preserve"> Instead of sharing card details, mobile payment systems create a unique digital token for each transaction.</w:t>
      </w:r>
    </w:p>
    <w:p w14:paraId="5AE0191A">
      <w:pPr>
        <w:jc w:val="both"/>
        <w:rPr>
          <w:rFonts w:hint="default"/>
          <w:lang w:val="en-US"/>
        </w:rPr>
      </w:pPr>
    </w:p>
    <w:p w14:paraId="0ADF1E1E">
      <w:pPr>
        <w:jc w:val="both"/>
        <w:rPr>
          <w:rFonts w:hint="default"/>
          <w:lang w:val="en-US"/>
        </w:rPr>
      </w:pPr>
      <w:r>
        <w:rPr>
          <w:rFonts w:hint="default"/>
          <w:lang w:val="en-US"/>
        </w:rPr>
        <w:t xml:space="preserve">Authentication: </w:t>
      </w:r>
    </w:p>
    <w:p w14:paraId="777F9080">
      <w:pPr>
        <w:jc w:val="both"/>
        <w:rPr>
          <w:rFonts w:hint="default"/>
          <w:lang w:val="en-US"/>
        </w:rPr>
      </w:pPr>
      <w:r>
        <w:rPr>
          <w:rFonts w:hint="default"/>
          <w:lang w:val="en-US"/>
        </w:rPr>
        <w:t>The user authenticates the transaction via biometrics (e.g., fingerprint, face recognition) or a pass code.</w:t>
      </w:r>
    </w:p>
    <w:p w14:paraId="410F6A5A">
      <w:pPr>
        <w:jc w:val="both"/>
        <w:rPr>
          <w:rFonts w:hint="default"/>
          <w:lang w:val="en-US"/>
        </w:rPr>
      </w:pPr>
    </w:p>
    <w:p w14:paraId="761C0521">
      <w:pPr>
        <w:jc w:val="both"/>
        <w:rPr>
          <w:rFonts w:hint="default"/>
          <w:lang w:val="en-US"/>
        </w:rPr>
      </w:pPr>
      <w:r>
        <w:rPr>
          <w:rFonts w:hint="default"/>
          <w:lang w:val="en-US"/>
        </w:rPr>
        <w:t xml:space="preserve">Transfer of Value: </w:t>
      </w:r>
    </w:p>
    <w:p w14:paraId="541D2AAA">
      <w:pPr>
        <w:jc w:val="both"/>
        <w:rPr>
          <w:rFonts w:hint="default"/>
          <w:lang w:val="en-US"/>
        </w:rPr>
      </w:pPr>
      <w:r>
        <w:rPr>
          <w:rFonts w:hint="default"/>
          <w:lang w:val="en-US"/>
        </w:rPr>
        <w:t>The app communicates with the bank, and upon approval, the digital funds are transferred to the merchant’s account.</w:t>
      </w:r>
    </w:p>
    <w:p w14:paraId="606E0B65">
      <w:pPr>
        <w:jc w:val="both"/>
        <w:rPr>
          <w:rFonts w:hint="default"/>
          <w:lang w:val="en-US"/>
        </w:rPr>
      </w:pPr>
    </w:p>
    <w:p w14:paraId="15339CCE">
      <w:pPr>
        <w:jc w:val="both"/>
        <w:rPr>
          <w:rFonts w:hint="default"/>
          <w:b/>
          <w:bCs/>
          <w:lang w:val="en-US"/>
        </w:rPr>
      </w:pPr>
      <w:r>
        <w:rPr>
          <w:rFonts w:hint="default"/>
          <w:b/>
          <w:bCs/>
          <w:lang w:val="en-US"/>
        </w:rPr>
        <w:t>5. Digital Units of Value</w:t>
      </w:r>
    </w:p>
    <w:p w14:paraId="606D4E30">
      <w:pPr>
        <w:jc w:val="both"/>
        <w:rPr>
          <w:rFonts w:hint="default"/>
          <w:lang w:val="en-US"/>
        </w:rPr>
      </w:pPr>
      <w:r>
        <w:rPr>
          <w:rFonts w:hint="default"/>
          <w:lang w:val="en-US"/>
        </w:rPr>
        <w:t>In all these methods, money is not physically moved but represented as digital entries in financial ledgers.</w:t>
      </w:r>
    </w:p>
    <w:p w14:paraId="0F126DFF">
      <w:pPr>
        <w:jc w:val="both"/>
        <w:rPr>
          <w:rFonts w:hint="default"/>
          <w:lang w:val="en-US"/>
        </w:rPr>
      </w:pPr>
      <w:r>
        <w:rPr>
          <w:rFonts w:hint="default"/>
          <w:lang w:val="en-US"/>
        </w:rPr>
        <w:t>These digital entries reflect credits and debits, ensuring that the amount is accurately transferred and accounted for.</w:t>
      </w:r>
    </w:p>
    <w:p w14:paraId="439A5F0B">
      <w:pPr>
        <w:jc w:val="both"/>
        <w:rPr>
          <w:rFonts w:hint="default"/>
          <w:lang w:val="en-US"/>
        </w:rPr>
      </w:pPr>
    </w:p>
    <w:p w14:paraId="3C4081FD">
      <w:pPr>
        <w:jc w:val="both"/>
        <w:rPr>
          <w:rFonts w:hint="default"/>
          <w:lang w:val="en-US"/>
        </w:rPr>
      </w:pPr>
      <w:r>
        <w:rPr>
          <w:rFonts w:hint="default"/>
          <w:lang w:val="en-US"/>
        </w:rPr>
        <w:t>Advanced encryption and security protocols maintain the integrity and security of these digital transactions.</w:t>
      </w:r>
    </w:p>
    <w:p w14:paraId="01D8DE4E">
      <w:pPr>
        <w:jc w:val="both"/>
        <w:rPr>
          <w:rFonts w:hint="default"/>
          <w:lang w:val="en-US"/>
        </w:rPr>
      </w:pPr>
    </w:p>
    <w:p w14:paraId="5FF3244B">
      <w:pPr>
        <w:jc w:val="both"/>
        <w:rPr>
          <w:rFonts w:hint="default"/>
          <w:b/>
          <w:bCs/>
          <w:lang w:val="en-US"/>
        </w:rPr>
      </w:pPr>
      <w:r>
        <w:rPr>
          <w:rFonts w:hint="default"/>
          <w:b/>
          <w:bCs/>
          <w:lang w:val="en-US"/>
        </w:rPr>
        <w:t>Conclusion</w:t>
      </w:r>
    </w:p>
    <w:p w14:paraId="37EE5BB0">
      <w:pPr>
        <w:jc w:val="both"/>
        <w:rPr>
          <w:rFonts w:hint="default"/>
          <w:lang w:val="en-US"/>
        </w:rPr>
      </w:pPr>
      <w:r>
        <w:rPr>
          <w:rFonts w:hint="default"/>
          <w:lang w:val="en-US"/>
        </w:rPr>
        <w:t>In a cashless society, money as a tangible asset is largely replaced by digital units of value. These units seamlessly transfer through digital networks, maintaining value and trust without physical cash. This shift enhances convenience, speed, and security in modern financial transactions.</w:t>
      </w:r>
    </w:p>
    <w:p w14:paraId="2ED4D0C5">
      <w:pPr>
        <w:jc w:val="both"/>
        <w:rPr>
          <w:rFonts w:hint="default"/>
          <w:lang w:val="en-US"/>
        </w:rPr>
      </w:pPr>
    </w:p>
    <w:p w14:paraId="604A6940">
      <w:pPr>
        <w:jc w:val="both"/>
        <w:rPr>
          <w:rFonts w:hint="default"/>
          <w:lang w:val="en-US"/>
        </w:rPr>
      </w:pPr>
    </w:p>
    <w:p w14:paraId="41849A51">
      <w:pPr>
        <w:jc w:val="both"/>
        <w:rPr>
          <w:rFonts w:hint="default"/>
          <w:lang w:val="en-US"/>
        </w:rPr>
      </w:pPr>
    </w:p>
    <w:p w14:paraId="1238E0DB">
      <w:pPr>
        <w:jc w:val="both"/>
        <w:rPr>
          <w:rFonts w:hint="default"/>
          <w:lang w:val="en-US"/>
        </w:rPr>
      </w:pPr>
    </w:p>
    <w:p w14:paraId="4203D5AA">
      <w:pPr>
        <w:jc w:val="both"/>
        <w:rPr>
          <w:rFonts w:hint="default"/>
          <w:lang w:val="en-US"/>
        </w:rPr>
      </w:pPr>
    </w:p>
    <w:p w14:paraId="3854895A">
      <w:pPr>
        <w:jc w:val="both"/>
        <w:rPr>
          <w:rFonts w:hint="default"/>
          <w:lang w:val="en-US"/>
        </w:rPr>
      </w:pPr>
    </w:p>
    <w:p w14:paraId="72360E46">
      <w:pPr>
        <w:jc w:val="both"/>
        <w:rPr>
          <w:rFonts w:hint="default"/>
          <w:lang w:val="en-US"/>
        </w:rPr>
      </w:pPr>
    </w:p>
    <w:p w14:paraId="54CF40DC">
      <w:pPr>
        <w:jc w:val="both"/>
        <w:rPr>
          <w:rFonts w:hint="default"/>
          <w:lang w:val="en-US"/>
        </w:rPr>
      </w:pPr>
    </w:p>
    <w:p w14:paraId="58980B67">
      <w:pPr>
        <w:jc w:val="both"/>
        <w:rPr>
          <w:rFonts w:hint="default"/>
          <w:lang w:val="en-US"/>
        </w:rPr>
      </w:pPr>
    </w:p>
    <w:p w14:paraId="7F7EDC49">
      <w:pPr>
        <w:jc w:val="both"/>
        <w:rPr>
          <w:rFonts w:hint="default"/>
          <w:lang w:val="en-US"/>
        </w:rPr>
      </w:pPr>
    </w:p>
    <w:p w14:paraId="3D9D9783">
      <w:pPr>
        <w:jc w:val="both"/>
        <w:rPr>
          <w:rFonts w:hint="default"/>
          <w:lang w:val="en-US"/>
        </w:rPr>
      </w:pPr>
    </w:p>
    <w:p w14:paraId="308FDA26">
      <w:pPr>
        <w:jc w:val="both"/>
        <w:rPr>
          <w:rFonts w:hint="default"/>
          <w:lang w:val="en-US"/>
        </w:rPr>
      </w:pPr>
    </w:p>
    <w:p w14:paraId="21071B4B">
      <w:pPr>
        <w:jc w:val="both"/>
        <w:rPr>
          <w:rFonts w:hint="default"/>
          <w:lang w:val="en-US"/>
        </w:rPr>
      </w:pPr>
    </w:p>
    <w:p w14:paraId="41D2382E">
      <w:pPr>
        <w:jc w:val="both"/>
        <w:rPr>
          <w:rFonts w:hint="default"/>
          <w:lang w:val="en-US"/>
        </w:rPr>
      </w:pPr>
    </w:p>
    <w:p w14:paraId="34A6F9B4">
      <w:pPr>
        <w:jc w:val="both"/>
        <w:rPr>
          <w:rFonts w:hint="default"/>
          <w:lang w:val="en-US"/>
        </w:rPr>
      </w:pPr>
    </w:p>
    <w:p w14:paraId="57FBE28C">
      <w:pPr>
        <w:jc w:val="both"/>
        <w:rPr>
          <w:rFonts w:hint="default"/>
          <w:lang w:val="en-US"/>
        </w:rPr>
      </w:pPr>
    </w:p>
    <w:p w14:paraId="5A0B08C7">
      <w:pPr>
        <w:jc w:val="both"/>
        <w:rPr>
          <w:rFonts w:hint="default"/>
          <w:lang w:val="en-US"/>
        </w:rPr>
      </w:pPr>
    </w:p>
    <w:p w14:paraId="11C5264B">
      <w:pPr>
        <w:jc w:val="both"/>
        <w:rPr>
          <w:rFonts w:hint="default"/>
          <w:lang w:val="en-US"/>
        </w:rPr>
      </w:pPr>
    </w:p>
    <w:p w14:paraId="2FFD9524">
      <w:pPr>
        <w:jc w:val="both"/>
        <w:rPr>
          <w:rFonts w:hint="default"/>
          <w:lang w:val="en-US"/>
        </w:rPr>
      </w:pPr>
    </w:p>
    <w:p w14:paraId="5D353F0D">
      <w:pPr>
        <w:jc w:val="both"/>
        <w:rPr>
          <w:rFonts w:hint="default"/>
          <w:lang w:val="en-US"/>
        </w:rPr>
      </w:pPr>
    </w:p>
    <w:p w14:paraId="69AA44AB">
      <w:pPr>
        <w:jc w:val="both"/>
        <w:rPr>
          <w:rFonts w:hint="default"/>
          <w:lang w:val="en-US"/>
        </w:rPr>
      </w:pPr>
    </w:p>
    <w:p w14:paraId="1863CCC0">
      <w:pPr>
        <w:jc w:val="both"/>
        <w:rPr>
          <w:rFonts w:hint="default"/>
          <w:lang w:val="en-US"/>
        </w:rPr>
      </w:pPr>
    </w:p>
    <w:p w14:paraId="3DF63445">
      <w:pPr>
        <w:jc w:val="both"/>
        <w:rPr>
          <w:rFonts w:hint="default"/>
          <w:lang w:val="en-US"/>
        </w:rPr>
      </w:pPr>
    </w:p>
    <w:p w14:paraId="58F5104B">
      <w:pPr>
        <w:jc w:val="both"/>
        <w:rPr>
          <w:rFonts w:hint="default"/>
          <w:lang w:val="en-US"/>
        </w:rPr>
      </w:pPr>
    </w:p>
    <w:p w14:paraId="1ABC533C">
      <w:pPr>
        <w:jc w:val="both"/>
        <w:rPr>
          <w:rFonts w:hint="default"/>
          <w:lang w:val="en-US"/>
        </w:rPr>
      </w:pPr>
    </w:p>
    <w:p w14:paraId="0B6FC379">
      <w:pPr>
        <w:jc w:val="both"/>
        <w:rPr>
          <w:rFonts w:hint="default"/>
          <w:lang w:val="en-US"/>
        </w:rPr>
      </w:pPr>
    </w:p>
    <w:p w14:paraId="3835E72B">
      <w:pPr>
        <w:jc w:val="both"/>
        <w:rPr>
          <w:rFonts w:hint="default"/>
          <w:lang w:val="en-US"/>
        </w:rPr>
      </w:pPr>
    </w:p>
    <w:p w14:paraId="76241E20">
      <w:pPr>
        <w:jc w:val="both"/>
        <w:rPr>
          <w:rFonts w:hint="default"/>
          <w:lang w:val="en-US"/>
        </w:rPr>
      </w:pPr>
    </w:p>
    <w:p w14:paraId="64726843">
      <w:pPr>
        <w:jc w:val="both"/>
        <w:rPr>
          <w:rFonts w:hint="default"/>
          <w:lang w:val="en-US"/>
        </w:rPr>
      </w:pPr>
    </w:p>
    <w:p w14:paraId="58023FCE">
      <w:pPr>
        <w:jc w:val="both"/>
        <w:rPr>
          <w:rFonts w:hint="default"/>
          <w:lang w:val="en-US"/>
        </w:rPr>
      </w:pPr>
    </w:p>
    <w:p w14:paraId="65C6442D">
      <w:pPr>
        <w:jc w:val="both"/>
        <w:rPr>
          <w:rFonts w:hint="default"/>
          <w:lang w:val="en-US"/>
        </w:rPr>
      </w:pPr>
    </w:p>
    <w:p w14:paraId="493DBC82">
      <w:pPr>
        <w:jc w:val="center"/>
        <w:rPr>
          <w:rFonts w:hint="default"/>
          <w:b/>
          <w:bCs/>
          <w:sz w:val="32"/>
          <w:szCs w:val="32"/>
          <w:lang w:val="en-US"/>
        </w:rPr>
      </w:pPr>
      <w:r>
        <w:rPr>
          <w:rFonts w:hint="default"/>
          <w:b/>
          <w:bCs/>
          <w:sz w:val="32"/>
          <w:szCs w:val="32"/>
          <w:lang w:val="en-US"/>
        </w:rPr>
        <w:t xml:space="preserve">Financial Ledgers and the Accounting Process in </w:t>
      </w:r>
    </w:p>
    <w:p w14:paraId="25125B01">
      <w:pPr>
        <w:jc w:val="center"/>
        <w:rPr>
          <w:rFonts w:hint="default"/>
          <w:b/>
          <w:bCs/>
          <w:sz w:val="32"/>
          <w:szCs w:val="32"/>
          <w:lang w:val="en-US"/>
        </w:rPr>
      </w:pPr>
      <w:r>
        <w:rPr>
          <w:rFonts w:hint="default"/>
          <w:b/>
          <w:bCs/>
          <w:sz w:val="32"/>
          <w:szCs w:val="32"/>
          <w:lang w:val="en-US"/>
        </w:rPr>
        <w:t>Digital Transactions</w:t>
      </w:r>
    </w:p>
    <w:p w14:paraId="4564D112">
      <w:pPr>
        <w:jc w:val="both"/>
        <w:rPr>
          <w:rFonts w:hint="default"/>
          <w:lang w:val="en-US"/>
        </w:rPr>
      </w:pPr>
    </w:p>
    <w:p w14:paraId="7CB3AE67">
      <w:pPr>
        <w:jc w:val="both"/>
        <w:rPr>
          <w:rFonts w:hint="default"/>
          <w:lang w:val="en-US"/>
        </w:rPr>
      </w:pPr>
    </w:p>
    <w:p w14:paraId="74C91D68">
      <w:pPr>
        <w:jc w:val="both"/>
        <w:rPr>
          <w:rFonts w:hint="default"/>
          <w:lang w:val="en-US"/>
        </w:rPr>
      </w:pPr>
    </w:p>
    <w:p w14:paraId="030B8EB0">
      <w:pPr>
        <w:numPr>
          <w:ilvl w:val="0"/>
          <w:numId w:val="13"/>
        </w:numPr>
        <w:ind w:left="425" w:leftChars="0" w:hanging="425" w:firstLineChars="0"/>
        <w:jc w:val="both"/>
        <w:rPr>
          <w:rFonts w:hint="default"/>
          <w:b/>
          <w:bCs/>
          <w:lang w:val="en-US"/>
        </w:rPr>
      </w:pPr>
      <w:r>
        <w:rPr>
          <w:rFonts w:hint="default"/>
          <w:b/>
          <w:bCs/>
          <w:lang w:val="en-US"/>
        </w:rPr>
        <w:t xml:space="preserve">Financial Ledgers: </w:t>
      </w:r>
    </w:p>
    <w:p w14:paraId="020A2361">
      <w:pPr>
        <w:ind w:firstLine="720" w:firstLineChars="0"/>
        <w:jc w:val="both"/>
        <w:rPr>
          <w:rFonts w:hint="default"/>
          <w:lang w:val="en-US"/>
        </w:rPr>
      </w:pPr>
      <w:r>
        <w:rPr>
          <w:rFonts w:hint="default"/>
          <w:lang w:val="en-US"/>
        </w:rPr>
        <w:t>The Digital Backbone of Transactions</w:t>
      </w:r>
    </w:p>
    <w:p w14:paraId="04A9B579">
      <w:pPr>
        <w:jc w:val="both"/>
        <w:rPr>
          <w:rFonts w:hint="default"/>
          <w:lang w:val="en-US"/>
        </w:rPr>
      </w:pPr>
    </w:p>
    <w:p w14:paraId="73E5A23D">
      <w:pPr>
        <w:numPr>
          <w:ilvl w:val="0"/>
          <w:numId w:val="0"/>
        </w:numPr>
        <w:ind w:leftChars="0" w:firstLine="720" w:firstLineChars="0"/>
        <w:jc w:val="both"/>
        <w:rPr>
          <w:rFonts w:hint="default"/>
          <w:lang w:val="en-US"/>
        </w:rPr>
      </w:pPr>
      <w:r>
        <w:rPr>
          <w:rFonts w:hint="default"/>
          <w:lang w:val="en-US"/>
        </w:rPr>
        <w:t xml:space="preserve">A financial ledger is a digital record that maintains a detailed account of all financial </w:t>
      </w:r>
      <w:r>
        <w:rPr>
          <w:rFonts w:hint="default"/>
          <w:lang w:val="en-US"/>
        </w:rPr>
        <w:tab/>
      </w:r>
      <w:r>
        <w:rPr>
          <w:rFonts w:hint="default"/>
          <w:lang w:val="en-US"/>
        </w:rPr>
        <w:t xml:space="preserve">transactions. In banking, ledgers play a crucial role in tracking the movement of funds, </w:t>
      </w:r>
      <w:r>
        <w:rPr>
          <w:rFonts w:hint="default"/>
          <w:lang w:val="en-US"/>
        </w:rPr>
        <w:tab/>
      </w:r>
      <w:r>
        <w:rPr>
          <w:rFonts w:hint="default"/>
          <w:lang w:val="en-US"/>
        </w:rPr>
        <w:t xml:space="preserve">ensuring accuracy, and maintaining transparency. There are several types of ledgers involved </w:t>
      </w:r>
      <w:r>
        <w:rPr>
          <w:rFonts w:hint="default"/>
          <w:lang w:val="en-US"/>
        </w:rPr>
        <w:tab/>
      </w:r>
      <w:r>
        <w:rPr>
          <w:rFonts w:hint="default"/>
          <w:lang w:val="en-US"/>
        </w:rPr>
        <w:t>in digital transactions:</w:t>
      </w:r>
    </w:p>
    <w:p w14:paraId="67046F07">
      <w:pPr>
        <w:jc w:val="both"/>
        <w:rPr>
          <w:rFonts w:hint="default"/>
          <w:lang w:val="en-US"/>
        </w:rPr>
      </w:pPr>
    </w:p>
    <w:p w14:paraId="2BBFA46B">
      <w:pPr>
        <w:numPr>
          <w:ilvl w:val="0"/>
          <w:numId w:val="13"/>
        </w:numPr>
        <w:ind w:left="425" w:leftChars="0" w:hanging="425" w:firstLineChars="0"/>
        <w:jc w:val="both"/>
        <w:rPr>
          <w:rFonts w:hint="default"/>
          <w:b/>
          <w:bCs/>
          <w:lang w:val="en-US"/>
        </w:rPr>
      </w:pPr>
      <w:r>
        <w:rPr>
          <w:rFonts w:hint="default"/>
          <w:b/>
          <w:bCs/>
          <w:lang w:val="en-US"/>
        </w:rPr>
        <w:t xml:space="preserve">General Ledger: </w:t>
      </w:r>
    </w:p>
    <w:p w14:paraId="01DB39BA">
      <w:pPr>
        <w:ind w:firstLine="720" w:firstLineChars="0"/>
        <w:jc w:val="both"/>
        <w:rPr>
          <w:rFonts w:hint="default"/>
          <w:lang w:val="en-US"/>
        </w:rPr>
      </w:pPr>
      <w:r>
        <w:rPr>
          <w:rFonts w:hint="default"/>
          <w:lang w:val="en-US"/>
        </w:rPr>
        <w:t xml:space="preserve">The primary accounting record that aggregates all financial transactions of an institution. It </w:t>
      </w:r>
      <w:r>
        <w:rPr>
          <w:rFonts w:hint="default"/>
          <w:lang w:val="en-US"/>
        </w:rPr>
        <w:tab/>
      </w:r>
      <w:r>
        <w:rPr>
          <w:rFonts w:hint="default"/>
          <w:lang w:val="en-US"/>
        </w:rPr>
        <w:t>includes all assets, liabilities, equity, revenues, and expenses.</w:t>
      </w:r>
    </w:p>
    <w:p w14:paraId="55CB12F8">
      <w:pPr>
        <w:jc w:val="both"/>
        <w:rPr>
          <w:rFonts w:hint="default"/>
          <w:lang w:val="en-US"/>
        </w:rPr>
      </w:pPr>
    </w:p>
    <w:p w14:paraId="5694AC8E">
      <w:pPr>
        <w:numPr>
          <w:ilvl w:val="0"/>
          <w:numId w:val="13"/>
        </w:numPr>
        <w:ind w:left="425" w:leftChars="0" w:hanging="425" w:firstLineChars="0"/>
        <w:jc w:val="both"/>
        <w:rPr>
          <w:rFonts w:hint="default"/>
          <w:b/>
          <w:bCs/>
          <w:lang w:val="en-US"/>
        </w:rPr>
      </w:pPr>
      <w:r>
        <w:rPr>
          <w:rFonts w:hint="default"/>
          <w:b/>
          <w:bCs/>
          <w:lang w:val="en-US"/>
        </w:rPr>
        <w:t xml:space="preserve">Customer Ledger: </w:t>
      </w:r>
    </w:p>
    <w:p w14:paraId="05FCFDC4">
      <w:pPr>
        <w:ind w:firstLine="720" w:firstLineChars="0"/>
        <w:jc w:val="both"/>
        <w:rPr>
          <w:rFonts w:hint="default"/>
          <w:lang w:val="en-US"/>
        </w:rPr>
      </w:pPr>
      <w:r>
        <w:rPr>
          <w:rFonts w:hint="default"/>
          <w:lang w:val="en-US"/>
        </w:rPr>
        <w:t>Maintains individual customer account details, including deposits, withdrawals, and balances.</w:t>
      </w:r>
    </w:p>
    <w:p w14:paraId="771E7F9C">
      <w:pPr>
        <w:ind w:firstLine="720" w:firstLineChars="0"/>
        <w:jc w:val="both"/>
        <w:rPr>
          <w:rFonts w:hint="default"/>
          <w:lang w:val="en-US"/>
        </w:rPr>
      </w:pPr>
    </w:p>
    <w:p w14:paraId="7AC96E0C">
      <w:pPr>
        <w:numPr>
          <w:ilvl w:val="0"/>
          <w:numId w:val="13"/>
        </w:numPr>
        <w:ind w:left="425" w:leftChars="0" w:hanging="425" w:firstLineChars="0"/>
        <w:jc w:val="both"/>
        <w:rPr>
          <w:rFonts w:hint="default"/>
          <w:b/>
          <w:bCs/>
          <w:lang w:val="en-US"/>
        </w:rPr>
      </w:pPr>
      <w:r>
        <w:rPr>
          <w:rFonts w:hint="default"/>
          <w:b/>
          <w:bCs/>
          <w:lang w:val="en-US"/>
        </w:rPr>
        <w:t xml:space="preserve">Subsidiary Ledgers: </w:t>
      </w:r>
    </w:p>
    <w:p w14:paraId="34EEA17D">
      <w:pPr>
        <w:numPr>
          <w:ilvl w:val="0"/>
          <w:numId w:val="0"/>
        </w:numPr>
        <w:ind w:leftChars="0" w:firstLine="720" w:firstLineChars="0"/>
        <w:jc w:val="both"/>
        <w:rPr>
          <w:rFonts w:hint="default"/>
          <w:lang w:val="en-US"/>
        </w:rPr>
      </w:pPr>
      <w:r>
        <w:rPr>
          <w:rFonts w:hint="default"/>
          <w:lang w:val="en-US"/>
        </w:rPr>
        <w:t xml:space="preserve">Support the general ledger by detailing specific types of transactions, </w:t>
      </w:r>
      <w:r>
        <w:rPr>
          <w:rFonts w:hint="default"/>
          <w:lang w:val="en-US"/>
        </w:rPr>
        <w:tab/>
      </w:r>
      <w:r>
        <w:rPr>
          <w:rFonts w:hint="default"/>
          <w:lang w:val="en-US"/>
        </w:rPr>
        <w:t xml:space="preserve">such as accounts </w:t>
      </w:r>
      <w:r>
        <w:rPr>
          <w:rFonts w:hint="default"/>
          <w:lang w:val="en-US"/>
        </w:rPr>
        <w:tab/>
      </w:r>
      <w:r>
        <w:rPr>
          <w:rFonts w:hint="default"/>
          <w:lang w:val="en-US"/>
        </w:rPr>
        <w:tab/>
      </w:r>
      <w:r>
        <w:rPr>
          <w:rFonts w:hint="default"/>
          <w:lang w:val="en-US"/>
        </w:rPr>
        <w:t>receivable or payable.</w:t>
      </w:r>
    </w:p>
    <w:p w14:paraId="555A29DA">
      <w:pPr>
        <w:jc w:val="both"/>
        <w:rPr>
          <w:rFonts w:hint="default"/>
          <w:lang w:val="en-US"/>
        </w:rPr>
      </w:pPr>
    </w:p>
    <w:p w14:paraId="3C94879B">
      <w:pPr>
        <w:numPr>
          <w:ilvl w:val="0"/>
          <w:numId w:val="13"/>
        </w:numPr>
        <w:ind w:left="425" w:leftChars="0" w:hanging="425" w:firstLineChars="0"/>
        <w:jc w:val="both"/>
        <w:rPr>
          <w:rFonts w:hint="default"/>
          <w:b/>
          <w:bCs/>
          <w:lang w:val="en-US"/>
        </w:rPr>
      </w:pPr>
      <w:r>
        <w:rPr>
          <w:rFonts w:hint="default"/>
          <w:b/>
          <w:bCs/>
          <w:lang w:val="en-US"/>
        </w:rPr>
        <w:t>The Accounting Process: Debits and Credits</w:t>
      </w:r>
    </w:p>
    <w:p w14:paraId="27BDD257">
      <w:pPr>
        <w:ind w:firstLine="720" w:firstLineChars="0"/>
        <w:jc w:val="both"/>
        <w:rPr>
          <w:rFonts w:hint="default"/>
          <w:lang w:val="en-US"/>
        </w:rPr>
      </w:pPr>
      <w:r>
        <w:rPr>
          <w:rFonts w:hint="default"/>
          <w:lang w:val="en-US"/>
        </w:rPr>
        <w:t xml:space="preserve">In accounting, every transaction follows the double-entry bookkeeping system, which </w:t>
      </w:r>
      <w:r>
        <w:rPr>
          <w:rFonts w:hint="default"/>
          <w:lang w:val="en-US"/>
        </w:rPr>
        <w:tab/>
      </w:r>
      <w:r>
        <w:rPr>
          <w:rFonts w:hint="default"/>
          <w:lang w:val="en-US"/>
        </w:rPr>
        <w:tab/>
      </w:r>
      <w:r>
        <w:rPr>
          <w:rFonts w:hint="default"/>
          <w:lang w:val="en-US"/>
        </w:rPr>
        <w:t>involves recording equal and opposite entries in the financial ledgers:</w:t>
      </w:r>
    </w:p>
    <w:p w14:paraId="50323797">
      <w:pPr>
        <w:jc w:val="both"/>
        <w:rPr>
          <w:rFonts w:hint="default"/>
          <w:lang w:val="en-US"/>
        </w:rPr>
      </w:pPr>
    </w:p>
    <w:p w14:paraId="4F2C1E2D">
      <w:pPr>
        <w:jc w:val="both"/>
        <w:rPr>
          <w:rFonts w:hint="default"/>
          <w:b/>
          <w:bCs/>
          <w:lang w:val="en-US"/>
        </w:rPr>
      </w:pPr>
      <w:r>
        <w:rPr>
          <w:rFonts w:hint="default"/>
          <w:b/>
          <w:bCs/>
          <w:lang w:val="en-US"/>
        </w:rPr>
        <w:t xml:space="preserve">Debit (Dr): </w:t>
      </w:r>
    </w:p>
    <w:p w14:paraId="2815A6A4">
      <w:pPr>
        <w:jc w:val="both"/>
        <w:rPr>
          <w:rFonts w:hint="default"/>
          <w:lang w:val="en-US"/>
        </w:rPr>
      </w:pPr>
      <w:r>
        <w:rPr>
          <w:rFonts w:hint="default"/>
          <w:lang w:val="en-US"/>
        </w:rPr>
        <w:t>An entry that increases assets or expenses or decreases liabilities, equity, or revenue.</w:t>
      </w:r>
    </w:p>
    <w:p w14:paraId="328EA81F">
      <w:pPr>
        <w:jc w:val="both"/>
        <w:rPr>
          <w:rFonts w:hint="default"/>
          <w:lang w:val="en-US"/>
        </w:rPr>
      </w:pPr>
    </w:p>
    <w:p w14:paraId="4A2E4425">
      <w:pPr>
        <w:jc w:val="both"/>
        <w:rPr>
          <w:rFonts w:hint="default"/>
          <w:b/>
          <w:bCs/>
          <w:lang w:val="en-US"/>
        </w:rPr>
      </w:pPr>
      <w:r>
        <w:rPr>
          <w:rFonts w:hint="default"/>
          <w:b/>
          <w:bCs/>
          <w:lang w:val="en-US"/>
        </w:rPr>
        <w:t xml:space="preserve">Credit (Cr): </w:t>
      </w:r>
    </w:p>
    <w:p w14:paraId="6D85BEE3">
      <w:pPr>
        <w:jc w:val="both"/>
        <w:rPr>
          <w:rFonts w:hint="default"/>
          <w:lang w:val="en-US"/>
        </w:rPr>
      </w:pPr>
      <w:r>
        <w:rPr>
          <w:rFonts w:hint="default"/>
          <w:lang w:val="en-US"/>
        </w:rPr>
        <w:t>An entry that increases liabilities, equity, or revenue or decreases assets or expenses.</w:t>
      </w:r>
    </w:p>
    <w:p w14:paraId="7568F12C">
      <w:pPr>
        <w:jc w:val="both"/>
        <w:rPr>
          <w:rFonts w:hint="default"/>
          <w:lang w:val="en-US"/>
        </w:rPr>
      </w:pPr>
    </w:p>
    <w:p w14:paraId="72FC887A">
      <w:pPr>
        <w:jc w:val="both"/>
        <w:rPr>
          <w:rFonts w:hint="default"/>
          <w:b/>
          <w:bCs/>
          <w:lang w:val="en-US"/>
        </w:rPr>
      </w:pPr>
      <w:r>
        <w:rPr>
          <w:rFonts w:hint="default"/>
          <w:b/>
          <w:bCs/>
          <w:lang w:val="en-US"/>
        </w:rPr>
        <w:t>Example: When a customer makes a digital payment using a debit card:</w:t>
      </w:r>
    </w:p>
    <w:p w14:paraId="6EEAD578">
      <w:pPr>
        <w:jc w:val="both"/>
        <w:rPr>
          <w:rFonts w:hint="default"/>
          <w:lang w:val="en-US"/>
        </w:rPr>
      </w:pPr>
      <w:r>
        <w:rPr>
          <w:rFonts w:hint="default"/>
          <w:lang w:val="en-US"/>
        </w:rPr>
        <w:t>The customer's bank account is debited, reducing the account balance.</w:t>
      </w:r>
    </w:p>
    <w:p w14:paraId="69C26065">
      <w:pPr>
        <w:jc w:val="both"/>
        <w:rPr>
          <w:rFonts w:hint="default"/>
          <w:lang w:val="en-US"/>
        </w:rPr>
      </w:pPr>
      <w:r>
        <w:rPr>
          <w:rFonts w:hint="default"/>
          <w:lang w:val="en-US"/>
        </w:rPr>
        <w:t>Simultaneously, the merchant's account is credited, increasing the merchant's balance.</w:t>
      </w:r>
    </w:p>
    <w:p w14:paraId="457270B9">
      <w:pPr>
        <w:jc w:val="both"/>
        <w:rPr>
          <w:rFonts w:hint="default"/>
          <w:lang w:val="en-US"/>
        </w:rPr>
      </w:pPr>
      <w:r>
        <w:rPr>
          <w:rFonts w:hint="default"/>
          <w:lang w:val="en-US"/>
        </w:rPr>
        <w:t>The bank's general ledger reflects both sides of the transaction, ensuring that the accounting equation (Assets = Liabilities + Equity) remains balanced.</w:t>
      </w:r>
    </w:p>
    <w:p w14:paraId="49B0A3FD">
      <w:pPr>
        <w:jc w:val="both"/>
        <w:rPr>
          <w:rFonts w:hint="default"/>
          <w:lang w:val="en-US"/>
        </w:rPr>
      </w:pPr>
    </w:p>
    <w:p w14:paraId="07D99FA0">
      <w:pPr>
        <w:numPr>
          <w:ilvl w:val="0"/>
          <w:numId w:val="13"/>
        </w:numPr>
        <w:ind w:left="425" w:leftChars="0" w:hanging="425" w:firstLineChars="0"/>
        <w:jc w:val="both"/>
        <w:rPr>
          <w:rFonts w:hint="default"/>
          <w:b/>
          <w:bCs/>
          <w:lang w:val="en-US"/>
        </w:rPr>
      </w:pPr>
      <w:r>
        <w:rPr>
          <w:rFonts w:hint="default"/>
          <w:b/>
          <w:bCs/>
          <w:lang w:val="en-US"/>
        </w:rPr>
        <w:t>Adjustments</w:t>
      </w:r>
    </w:p>
    <w:p w14:paraId="76C49E7D">
      <w:pPr>
        <w:jc w:val="both"/>
        <w:rPr>
          <w:rFonts w:hint="default"/>
          <w:lang w:val="en-US"/>
        </w:rPr>
      </w:pPr>
    </w:p>
    <w:p w14:paraId="363333E5">
      <w:pPr>
        <w:numPr>
          <w:ilvl w:val="0"/>
          <w:numId w:val="14"/>
        </w:numPr>
        <w:ind w:left="845" w:leftChars="0" w:hanging="425" w:firstLineChars="0"/>
        <w:jc w:val="both"/>
        <w:rPr>
          <w:rFonts w:hint="default"/>
          <w:lang w:val="en-US"/>
        </w:rPr>
      </w:pPr>
      <w:r>
        <w:rPr>
          <w:rFonts w:hint="default"/>
          <w:lang w:val="en-US"/>
        </w:rPr>
        <w:t>Account Adjustments</w:t>
      </w:r>
    </w:p>
    <w:p w14:paraId="029B2D11">
      <w:pPr>
        <w:ind w:firstLine="720" w:firstLineChars="0"/>
        <w:jc w:val="both"/>
        <w:rPr>
          <w:rFonts w:hint="default"/>
          <w:lang w:val="en-US"/>
        </w:rPr>
      </w:pPr>
      <w:r>
        <w:rPr>
          <w:rFonts w:hint="default"/>
          <w:lang w:val="en-US"/>
        </w:rPr>
        <w:t xml:space="preserve">Adjustments are made to accurately reflect the true financial position of accounts. This is </w:t>
      </w:r>
      <w:r>
        <w:rPr>
          <w:rFonts w:hint="default"/>
          <w:lang w:val="en-US"/>
        </w:rPr>
        <w:tab/>
      </w:r>
      <w:r>
        <w:rPr>
          <w:rFonts w:hint="default"/>
          <w:lang w:val="en-US"/>
        </w:rPr>
        <w:t>critical in digital transactions where transactions occur in real-time:</w:t>
      </w:r>
    </w:p>
    <w:p w14:paraId="4FEB1AE4">
      <w:pPr>
        <w:jc w:val="both"/>
        <w:rPr>
          <w:rFonts w:hint="default"/>
          <w:lang w:val="en-US"/>
        </w:rPr>
      </w:pPr>
    </w:p>
    <w:p w14:paraId="1BFFAE30">
      <w:pPr>
        <w:numPr>
          <w:ilvl w:val="0"/>
          <w:numId w:val="14"/>
        </w:numPr>
        <w:ind w:left="845" w:leftChars="0" w:hanging="425" w:firstLineChars="0"/>
        <w:jc w:val="both"/>
        <w:rPr>
          <w:rFonts w:hint="default"/>
          <w:lang w:val="en-US"/>
        </w:rPr>
      </w:pPr>
      <w:r>
        <w:rPr>
          <w:rFonts w:hint="default"/>
          <w:lang w:val="en-US"/>
        </w:rPr>
        <w:t xml:space="preserve">Daily Adjustments: </w:t>
      </w:r>
    </w:p>
    <w:p w14:paraId="57FB1A1D">
      <w:pPr>
        <w:ind w:firstLine="720" w:firstLineChars="0"/>
        <w:jc w:val="both"/>
        <w:rPr>
          <w:rFonts w:hint="default"/>
          <w:lang w:val="en-US"/>
        </w:rPr>
      </w:pPr>
      <w:r>
        <w:rPr>
          <w:rFonts w:hint="default"/>
          <w:lang w:val="en-US"/>
        </w:rPr>
        <w:t>Interest accruals, fee charges, or transaction reversals.</w:t>
      </w:r>
    </w:p>
    <w:p w14:paraId="0D5D1813">
      <w:pPr>
        <w:jc w:val="both"/>
        <w:rPr>
          <w:rFonts w:hint="default"/>
          <w:lang w:val="en-US"/>
        </w:rPr>
      </w:pPr>
    </w:p>
    <w:p w14:paraId="73760E68">
      <w:pPr>
        <w:numPr>
          <w:ilvl w:val="0"/>
          <w:numId w:val="14"/>
        </w:numPr>
        <w:ind w:left="845" w:leftChars="0" w:hanging="425" w:firstLineChars="0"/>
        <w:jc w:val="both"/>
        <w:rPr>
          <w:rFonts w:hint="default"/>
          <w:lang w:val="en-US"/>
        </w:rPr>
      </w:pPr>
      <w:r>
        <w:rPr>
          <w:rFonts w:hint="default"/>
          <w:lang w:val="en-US"/>
        </w:rPr>
        <w:t xml:space="preserve">Exchange Rate Adjustments: </w:t>
      </w:r>
    </w:p>
    <w:p w14:paraId="208EA82B">
      <w:pPr>
        <w:ind w:firstLine="720" w:firstLineChars="0"/>
        <w:jc w:val="both"/>
        <w:rPr>
          <w:rFonts w:hint="default"/>
          <w:lang w:val="en-US"/>
        </w:rPr>
      </w:pPr>
      <w:r>
        <w:rPr>
          <w:rFonts w:hint="default"/>
          <w:lang w:val="en-US"/>
        </w:rPr>
        <w:t xml:space="preserve">For cross-border transactions, currency conversions may require ledger adjustments to </w:t>
      </w:r>
      <w:r>
        <w:rPr>
          <w:rFonts w:hint="default"/>
          <w:lang w:val="en-US"/>
        </w:rPr>
        <w:tab/>
      </w:r>
      <w:r>
        <w:rPr>
          <w:rFonts w:hint="default"/>
          <w:lang w:val="en-US"/>
        </w:rPr>
        <w:t>account for exchange rate fluctuations.</w:t>
      </w:r>
    </w:p>
    <w:p w14:paraId="12DB638F">
      <w:pPr>
        <w:jc w:val="both"/>
        <w:rPr>
          <w:rFonts w:hint="default"/>
          <w:lang w:val="en-US"/>
        </w:rPr>
      </w:pPr>
    </w:p>
    <w:p w14:paraId="5F26F477">
      <w:pPr>
        <w:jc w:val="both"/>
        <w:rPr>
          <w:rFonts w:hint="default"/>
          <w:lang w:val="en-US"/>
        </w:rPr>
      </w:pPr>
      <w:r>
        <w:rPr>
          <w:rFonts w:hint="default"/>
          <w:lang w:val="en-US"/>
        </w:rPr>
        <w:t>Error Corrections:</w:t>
      </w:r>
    </w:p>
    <w:p w14:paraId="0A19D33A">
      <w:pPr>
        <w:jc w:val="both"/>
        <w:rPr>
          <w:rFonts w:hint="default"/>
          <w:lang w:val="en-US"/>
        </w:rPr>
      </w:pPr>
      <w:r>
        <w:rPr>
          <w:rFonts w:hint="default"/>
          <w:lang w:val="en-US"/>
        </w:rPr>
        <w:t xml:space="preserve"> If discrepancies arise, adjusting entries correct the balances to match the actual transactions.</w:t>
      </w:r>
    </w:p>
    <w:p w14:paraId="78942260">
      <w:pPr>
        <w:jc w:val="both"/>
        <w:rPr>
          <w:rFonts w:hint="default"/>
          <w:lang w:val="en-US"/>
        </w:rPr>
      </w:pPr>
    </w:p>
    <w:p w14:paraId="7B540DF4">
      <w:pPr>
        <w:jc w:val="both"/>
        <w:rPr>
          <w:rFonts w:hint="default"/>
          <w:b/>
          <w:bCs/>
          <w:lang w:val="en-US"/>
        </w:rPr>
      </w:pPr>
      <w:r>
        <w:rPr>
          <w:rFonts w:hint="default"/>
          <w:b/>
          <w:bCs/>
          <w:lang w:val="en-US"/>
        </w:rPr>
        <w:t>4. Reconciliation: Ensuring Accuracy</w:t>
      </w:r>
    </w:p>
    <w:p w14:paraId="6CA81FFB">
      <w:pPr>
        <w:jc w:val="both"/>
        <w:rPr>
          <w:rFonts w:hint="default"/>
          <w:lang w:val="en-US"/>
        </w:rPr>
      </w:pPr>
      <w:r>
        <w:rPr>
          <w:rFonts w:hint="default"/>
          <w:lang w:val="en-US"/>
        </w:rPr>
        <w:t>Reconciliation is the process of comparing financial records to ensure consistency and accuracy. It involves:</w:t>
      </w:r>
    </w:p>
    <w:p w14:paraId="22A60970">
      <w:pPr>
        <w:jc w:val="both"/>
        <w:rPr>
          <w:rFonts w:hint="default"/>
          <w:lang w:val="en-US"/>
        </w:rPr>
      </w:pPr>
    </w:p>
    <w:p w14:paraId="70081F2E">
      <w:pPr>
        <w:numPr>
          <w:ilvl w:val="0"/>
          <w:numId w:val="15"/>
        </w:numPr>
        <w:ind w:left="425" w:leftChars="0" w:hanging="425" w:firstLineChars="0"/>
        <w:jc w:val="both"/>
        <w:rPr>
          <w:rFonts w:hint="default"/>
          <w:lang w:val="en-US"/>
        </w:rPr>
      </w:pPr>
      <w:r>
        <w:rPr>
          <w:rFonts w:hint="default"/>
          <w:lang w:val="en-US"/>
        </w:rPr>
        <w:t xml:space="preserve">Internal Reconciliation: </w:t>
      </w:r>
    </w:p>
    <w:p w14:paraId="2F7C641E">
      <w:pPr>
        <w:jc w:val="both"/>
        <w:rPr>
          <w:rFonts w:hint="default"/>
          <w:lang w:val="en-US"/>
        </w:rPr>
      </w:pPr>
      <w:r>
        <w:rPr>
          <w:rFonts w:hint="default"/>
          <w:lang w:val="en-US"/>
        </w:rPr>
        <w:t>Matching the bank’s internal ledgers with transactional records to verify that debits and credits align correctly.</w:t>
      </w:r>
    </w:p>
    <w:p w14:paraId="1C4D5690">
      <w:pPr>
        <w:jc w:val="both"/>
        <w:rPr>
          <w:rFonts w:hint="default"/>
          <w:lang w:val="en-US"/>
        </w:rPr>
      </w:pPr>
    </w:p>
    <w:p w14:paraId="7C855F02">
      <w:pPr>
        <w:numPr>
          <w:ilvl w:val="0"/>
          <w:numId w:val="15"/>
        </w:numPr>
        <w:ind w:left="425" w:leftChars="0" w:hanging="425" w:firstLineChars="0"/>
        <w:jc w:val="both"/>
        <w:rPr>
          <w:rFonts w:hint="default"/>
          <w:lang w:val="en-US"/>
        </w:rPr>
      </w:pPr>
      <w:r>
        <w:rPr>
          <w:rFonts w:hint="default"/>
          <w:lang w:val="en-US"/>
        </w:rPr>
        <w:t xml:space="preserve">External Reconciliation: </w:t>
      </w:r>
    </w:p>
    <w:p w14:paraId="063B5EF3">
      <w:pPr>
        <w:jc w:val="both"/>
        <w:rPr>
          <w:rFonts w:hint="default"/>
          <w:lang w:val="en-US"/>
        </w:rPr>
      </w:pPr>
      <w:r>
        <w:rPr>
          <w:rFonts w:hint="default"/>
          <w:lang w:val="en-US"/>
        </w:rPr>
        <w:t>Comparing internal financial records with external documents, such as bank statements, to validate account balances.</w:t>
      </w:r>
    </w:p>
    <w:p w14:paraId="5C192CB7">
      <w:pPr>
        <w:jc w:val="both"/>
        <w:rPr>
          <w:rFonts w:hint="default"/>
          <w:lang w:val="en-US"/>
        </w:rPr>
      </w:pPr>
    </w:p>
    <w:p w14:paraId="3E251078">
      <w:pPr>
        <w:numPr>
          <w:ilvl w:val="0"/>
          <w:numId w:val="15"/>
        </w:numPr>
        <w:ind w:left="425" w:leftChars="0" w:hanging="425" w:firstLineChars="0"/>
        <w:jc w:val="both"/>
        <w:rPr>
          <w:rFonts w:hint="default"/>
          <w:lang w:val="en-US"/>
        </w:rPr>
      </w:pPr>
      <w:r>
        <w:rPr>
          <w:rFonts w:hint="default"/>
          <w:lang w:val="en-US"/>
        </w:rPr>
        <w:t>During reconciliation:</w:t>
      </w:r>
    </w:p>
    <w:p w14:paraId="31153A48">
      <w:pPr>
        <w:jc w:val="both"/>
        <w:rPr>
          <w:rFonts w:hint="default"/>
          <w:lang w:val="en-US"/>
        </w:rPr>
      </w:pPr>
      <w:r>
        <w:rPr>
          <w:rFonts w:hint="default"/>
          <w:lang w:val="en-US"/>
        </w:rPr>
        <w:t>Discrepancies are identified, such as pending transactions, processing errors, or fraud.</w:t>
      </w:r>
    </w:p>
    <w:p w14:paraId="5DED35E5">
      <w:pPr>
        <w:jc w:val="both"/>
        <w:rPr>
          <w:rFonts w:hint="default"/>
          <w:lang w:val="en-US"/>
        </w:rPr>
      </w:pPr>
      <w:r>
        <w:rPr>
          <w:rFonts w:hint="default"/>
          <w:lang w:val="en-US"/>
        </w:rPr>
        <w:t>Adjusting entries are made to rectify discrepancies, ensuring that the ledgers are balanced.</w:t>
      </w:r>
    </w:p>
    <w:p w14:paraId="47070BB8">
      <w:pPr>
        <w:jc w:val="both"/>
        <w:rPr>
          <w:rFonts w:hint="default"/>
          <w:lang w:val="en-US"/>
        </w:rPr>
      </w:pPr>
    </w:p>
    <w:p w14:paraId="47739C03">
      <w:pPr>
        <w:jc w:val="both"/>
        <w:rPr>
          <w:rFonts w:hint="default"/>
          <w:lang w:val="en-US"/>
        </w:rPr>
      </w:pPr>
    </w:p>
    <w:p w14:paraId="0DF8491F">
      <w:pPr>
        <w:jc w:val="both"/>
        <w:rPr>
          <w:rFonts w:hint="default"/>
          <w:b/>
          <w:bCs/>
          <w:lang w:val="en-US"/>
        </w:rPr>
      </w:pPr>
      <w:r>
        <w:rPr>
          <w:rFonts w:hint="default"/>
          <w:b/>
          <w:bCs/>
          <w:lang w:val="en-US"/>
        </w:rPr>
        <w:t>5. Automation in Digital Transactions</w:t>
      </w:r>
    </w:p>
    <w:p w14:paraId="0D375C2C">
      <w:pPr>
        <w:jc w:val="both"/>
        <w:rPr>
          <w:rFonts w:hint="default"/>
          <w:lang w:val="en-US"/>
        </w:rPr>
      </w:pPr>
      <w:r>
        <w:rPr>
          <w:rFonts w:hint="default"/>
          <w:lang w:val="en-US"/>
        </w:rPr>
        <w:t>In a digital banking ecosystem:</w:t>
      </w:r>
    </w:p>
    <w:p w14:paraId="617A91D4">
      <w:pPr>
        <w:jc w:val="both"/>
        <w:rPr>
          <w:rFonts w:hint="default"/>
          <w:lang w:val="en-US"/>
        </w:rPr>
      </w:pPr>
    </w:p>
    <w:p w14:paraId="00CA75EC">
      <w:pPr>
        <w:numPr>
          <w:ilvl w:val="0"/>
          <w:numId w:val="16"/>
        </w:numPr>
        <w:ind w:left="425" w:leftChars="0" w:hanging="425" w:firstLineChars="0"/>
        <w:jc w:val="both"/>
        <w:rPr>
          <w:rFonts w:hint="default"/>
          <w:lang w:val="en-US"/>
        </w:rPr>
      </w:pPr>
      <w:r>
        <w:rPr>
          <w:rFonts w:hint="default"/>
          <w:lang w:val="en-US"/>
        </w:rPr>
        <w:t xml:space="preserve">Automated Systems: </w:t>
      </w:r>
    </w:p>
    <w:p w14:paraId="121FD93D">
      <w:pPr>
        <w:ind w:firstLine="720" w:firstLineChars="0"/>
        <w:jc w:val="both"/>
        <w:rPr>
          <w:rFonts w:hint="default"/>
          <w:lang w:val="en-US"/>
        </w:rPr>
      </w:pPr>
      <w:r>
        <w:rPr>
          <w:rFonts w:hint="default"/>
          <w:lang w:val="en-US"/>
        </w:rPr>
        <w:t xml:space="preserve">Most digital payment systems use automated accounting software that instantly records </w:t>
      </w:r>
      <w:r>
        <w:rPr>
          <w:rFonts w:hint="default"/>
          <w:lang w:val="en-US"/>
        </w:rPr>
        <w:tab/>
      </w:r>
      <w:r>
        <w:rPr>
          <w:rFonts w:hint="default"/>
          <w:lang w:val="en-US"/>
        </w:rPr>
        <w:t>transactions in the appropriate ledgers.</w:t>
      </w:r>
    </w:p>
    <w:p w14:paraId="7F9E2E93">
      <w:pPr>
        <w:jc w:val="both"/>
        <w:rPr>
          <w:rFonts w:hint="default"/>
          <w:lang w:val="en-US"/>
        </w:rPr>
      </w:pPr>
    </w:p>
    <w:p w14:paraId="5A4BC26E">
      <w:pPr>
        <w:numPr>
          <w:ilvl w:val="0"/>
          <w:numId w:val="16"/>
        </w:numPr>
        <w:ind w:left="425" w:leftChars="0" w:hanging="425" w:firstLineChars="0"/>
        <w:jc w:val="both"/>
        <w:rPr>
          <w:rFonts w:hint="default"/>
          <w:lang w:val="en-US"/>
        </w:rPr>
      </w:pPr>
      <w:r>
        <w:rPr>
          <w:rFonts w:hint="default"/>
          <w:lang w:val="en-US"/>
        </w:rPr>
        <w:t xml:space="preserve">Real-Time </w:t>
      </w:r>
    </w:p>
    <w:p w14:paraId="58F2BBB5">
      <w:pPr>
        <w:ind w:firstLine="720" w:firstLineChars="0"/>
        <w:jc w:val="both"/>
        <w:rPr>
          <w:rFonts w:hint="default"/>
          <w:lang w:val="en-US"/>
        </w:rPr>
      </w:pPr>
      <w:r>
        <w:rPr>
          <w:rFonts w:hint="default"/>
          <w:lang w:val="en-US"/>
        </w:rPr>
        <w:t>Processing: Digital ledgers are updated instantaneously, improving efficiency and accuracy.</w:t>
      </w:r>
    </w:p>
    <w:p w14:paraId="548F2F56">
      <w:pPr>
        <w:jc w:val="both"/>
        <w:rPr>
          <w:rFonts w:hint="default"/>
          <w:lang w:val="en-US"/>
        </w:rPr>
      </w:pPr>
    </w:p>
    <w:p w14:paraId="577BCF08">
      <w:pPr>
        <w:numPr>
          <w:ilvl w:val="0"/>
          <w:numId w:val="16"/>
        </w:numPr>
        <w:ind w:left="425" w:leftChars="0" w:hanging="425" w:firstLineChars="0"/>
        <w:jc w:val="both"/>
        <w:rPr>
          <w:rFonts w:hint="default"/>
          <w:lang w:val="en-US"/>
        </w:rPr>
      </w:pPr>
      <w:r>
        <w:rPr>
          <w:rFonts w:hint="default"/>
          <w:lang w:val="en-US"/>
        </w:rPr>
        <w:t xml:space="preserve">AI and Reconciliation Tools: </w:t>
      </w:r>
    </w:p>
    <w:p w14:paraId="6466F5E3">
      <w:pPr>
        <w:ind w:firstLine="720" w:firstLineChars="0"/>
        <w:jc w:val="both"/>
        <w:rPr>
          <w:rFonts w:hint="default"/>
          <w:lang w:val="en-US"/>
        </w:rPr>
      </w:pPr>
      <w:r>
        <w:rPr>
          <w:rFonts w:hint="default"/>
          <w:lang w:val="en-US"/>
        </w:rPr>
        <w:t xml:space="preserve">Artificial intelligence helps detect anomalies in transactions and assists in automated </w:t>
      </w:r>
      <w:r>
        <w:rPr>
          <w:rFonts w:hint="default"/>
          <w:lang w:val="en-US"/>
        </w:rPr>
        <w:tab/>
      </w:r>
      <w:r>
        <w:rPr>
          <w:rFonts w:hint="default"/>
          <w:lang w:val="en-US"/>
        </w:rPr>
        <w:t>reconciliation processes.</w:t>
      </w:r>
    </w:p>
    <w:p w14:paraId="488D0A95">
      <w:pPr>
        <w:jc w:val="both"/>
        <w:rPr>
          <w:rFonts w:hint="default"/>
          <w:lang w:val="en-US"/>
        </w:rPr>
      </w:pPr>
    </w:p>
    <w:p w14:paraId="7CBC8644">
      <w:pPr>
        <w:jc w:val="both"/>
        <w:rPr>
          <w:rFonts w:hint="default"/>
          <w:b/>
          <w:bCs/>
          <w:lang w:val="en-US"/>
        </w:rPr>
      </w:pPr>
      <w:r>
        <w:rPr>
          <w:rFonts w:hint="default"/>
          <w:b/>
          <w:bCs/>
          <w:lang w:val="en-US"/>
        </w:rPr>
        <w:t>Conclusion: The Digital Flow of Value</w:t>
      </w:r>
    </w:p>
    <w:p w14:paraId="0157B35B">
      <w:pPr>
        <w:jc w:val="both"/>
        <w:rPr>
          <w:rFonts w:hint="default"/>
          <w:lang w:val="en-US"/>
        </w:rPr>
      </w:pPr>
      <w:r>
        <w:rPr>
          <w:rFonts w:hint="default"/>
          <w:lang w:val="en-US"/>
        </w:rPr>
        <w:t>When money is transferred digitally, whether through card payments, mobile systems, or cross-border transfers, it is not physical cash that moves but rather a digital representation of value. The integrity of this digital money relies on robust financial ledgers, a clear accounting process of debits and credits, meticulous account adjustments, and accurate reconciliation procedures. These elements together create a secure and efficient framework for operating in a cashless society.</w:t>
      </w:r>
    </w:p>
    <w:p w14:paraId="41E2C957">
      <w:pPr>
        <w:jc w:val="both"/>
        <w:rPr>
          <w:rFonts w:hint="default"/>
          <w:lang w:val="en-US"/>
        </w:rPr>
      </w:pPr>
    </w:p>
    <w:p w14:paraId="7B48B249">
      <w:pPr>
        <w:jc w:val="both"/>
        <w:rPr>
          <w:rFonts w:hint="default"/>
          <w:lang w:val="en-US"/>
        </w:rPr>
      </w:pPr>
    </w:p>
    <w:p w14:paraId="3ED74630">
      <w:pPr>
        <w:jc w:val="both"/>
        <w:rPr>
          <w:rFonts w:hint="default"/>
          <w:lang w:val="en-US"/>
        </w:rPr>
      </w:pPr>
    </w:p>
    <w:p w14:paraId="416DE989">
      <w:pPr>
        <w:jc w:val="both"/>
        <w:rPr>
          <w:rFonts w:hint="default"/>
          <w:lang w:val="en-US"/>
        </w:rPr>
      </w:pPr>
    </w:p>
    <w:p w14:paraId="7BD54FC8">
      <w:pPr>
        <w:jc w:val="both"/>
        <w:rPr>
          <w:rFonts w:hint="default"/>
          <w:lang w:val="en-US"/>
        </w:rPr>
      </w:pPr>
    </w:p>
    <w:p w14:paraId="3E1599D9">
      <w:pPr>
        <w:jc w:val="both"/>
        <w:rPr>
          <w:rFonts w:hint="default"/>
          <w:lang w:val="en-US"/>
        </w:rPr>
      </w:pPr>
    </w:p>
    <w:p w14:paraId="25BCB5C9">
      <w:pPr>
        <w:jc w:val="both"/>
        <w:rPr>
          <w:rFonts w:hint="default"/>
          <w:lang w:val="en-US"/>
        </w:rPr>
      </w:pPr>
    </w:p>
    <w:p w14:paraId="2986D6E5">
      <w:pPr>
        <w:jc w:val="both"/>
        <w:rPr>
          <w:rFonts w:hint="default"/>
          <w:lang w:val="en-US"/>
        </w:rPr>
      </w:pPr>
    </w:p>
    <w:p w14:paraId="27C3808B">
      <w:pPr>
        <w:jc w:val="both"/>
        <w:rPr>
          <w:rFonts w:hint="default"/>
          <w:lang w:val="en-US"/>
        </w:rPr>
      </w:pPr>
    </w:p>
    <w:p w14:paraId="3CDE2238">
      <w:pPr>
        <w:jc w:val="both"/>
        <w:rPr>
          <w:rFonts w:hint="default"/>
          <w:lang w:val="en-US"/>
        </w:rPr>
      </w:pPr>
    </w:p>
    <w:p w14:paraId="64583A1B">
      <w:pPr>
        <w:jc w:val="both"/>
        <w:rPr>
          <w:rFonts w:hint="default"/>
          <w:lang w:val="en-US"/>
        </w:rPr>
      </w:pPr>
    </w:p>
    <w:p w14:paraId="3D474765">
      <w:pPr>
        <w:jc w:val="both"/>
        <w:rPr>
          <w:rFonts w:hint="default"/>
          <w:lang w:val="en-US"/>
        </w:rPr>
      </w:pPr>
    </w:p>
    <w:p w14:paraId="2840375D">
      <w:pPr>
        <w:jc w:val="both"/>
        <w:rPr>
          <w:rFonts w:hint="default"/>
          <w:lang w:val="en-US"/>
        </w:rPr>
      </w:pPr>
    </w:p>
    <w:p w14:paraId="77C0ED2E">
      <w:pPr>
        <w:jc w:val="both"/>
        <w:rPr>
          <w:rFonts w:hint="default"/>
          <w:lang w:val="en-US"/>
        </w:rPr>
      </w:pPr>
    </w:p>
    <w:p w14:paraId="5AEC5393">
      <w:pPr>
        <w:jc w:val="both"/>
        <w:rPr>
          <w:rFonts w:hint="default"/>
          <w:lang w:val="en-US"/>
        </w:rPr>
      </w:pPr>
    </w:p>
    <w:p w14:paraId="4AD7B89B">
      <w:pPr>
        <w:jc w:val="both"/>
        <w:rPr>
          <w:rFonts w:hint="default"/>
          <w:lang w:val="en-US"/>
        </w:rPr>
      </w:pPr>
    </w:p>
    <w:p w14:paraId="1F6F6B75">
      <w:pPr>
        <w:jc w:val="both"/>
        <w:rPr>
          <w:rFonts w:hint="default"/>
          <w:lang w:val="en-US"/>
        </w:rPr>
      </w:pPr>
    </w:p>
    <w:p w14:paraId="3662997C">
      <w:pPr>
        <w:jc w:val="both"/>
        <w:rPr>
          <w:rFonts w:hint="default"/>
          <w:lang w:val="en-US"/>
        </w:rPr>
      </w:pPr>
    </w:p>
    <w:p w14:paraId="238CEBD5">
      <w:pPr>
        <w:jc w:val="center"/>
        <w:rPr>
          <w:rFonts w:hint="default"/>
          <w:b/>
          <w:bCs/>
          <w:sz w:val="32"/>
          <w:szCs w:val="32"/>
          <w:lang w:val="en-US"/>
        </w:rPr>
      </w:pPr>
      <w:r>
        <w:rPr>
          <w:rFonts w:hint="default"/>
          <w:b/>
          <w:bCs/>
          <w:sz w:val="32"/>
          <w:szCs w:val="32"/>
          <w:lang w:val="en-US"/>
        </w:rPr>
        <w:t>Understanding Currency: From Creation to Digital Transfer</w:t>
      </w:r>
    </w:p>
    <w:p w14:paraId="5219F997">
      <w:pPr>
        <w:jc w:val="both"/>
        <w:rPr>
          <w:rFonts w:hint="default"/>
          <w:lang w:val="en-US"/>
        </w:rPr>
      </w:pPr>
    </w:p>
    <w:p w14:paraId="5AF0C1BA">
      <w:pPr>
        <w:jc w:val="both"/>
        <w:rPr>
          <w:rFonts w:hint="default"/>
          <w:lang w:val="en-US"/>
        </w:rPr>
      </w:pPr>
      <w:r>
        <w:rPr>
          <w:rFonts w:hint="default"/>
          <w:lang w:val="en-US"/>
        </w:rPr>
        <w:t>Currency serves as a medium of exchange, facilitating trade and economic transactions. It derives its value from being widely accepted in exchange for goods and services. Historically, currency evolved from barter systems to physical money (coins and notes) and now to digital forms.</w:t>
      </w:r>
    </w:p>
    <w:p w14:paraId="72FE6B16">
      <w:pPr>
        <w:jc w:val="both"/>
        <w:rPr>
          <w:rFonts w:hint="default"/>
          <w:lang w:val="en-US"/>
        </w:rPr>
      </w:pPr>
    </w:p>
    <w:p w14:paraId="51FEF0CB">
      <w:pPr>
        <w:jc w:val="both"/>
        <w:rPr>
          <w:rFonts w:hint="default"/>
          <w:lang w:val="en-US"/>
        </w:rPr>
      </w:pPr>
      <w:r>
        <w:rPr>
          <w:rFonts w:hint="default"/>
          <w:lang w:val="en-US"/>
        </w:rPr>
        <w:t>The creation of currency involves several critical steps, with governments and central banks playing a central role. Governments, through their central banks (such as the Federal Reserve in the US or the European Central Bank in the EU), issue currency backed by the government's guarantee. This sovereign guarantee assures that the government will honor the value of the currency, establishing trust in the monetary system.</w:t>
      </w:r>
    </w:p>
    <w:p w14:paraId="593A0E07">
      <w:pPr>
        <w:jc w:val="both"/>
        <w:rPr>
          <w:rFonts w:hint="default"/>
          <w:lang w:val="en-US"/>
        </w:rPr>
      </w:pPr>
    </w:p>
    <w:p w14:paraId="2527237D">
      <w:pPr>
        <w:jc w:val="both"/>
        <w:rPr>
          <w:rFonts w:hint="default"/>
          <w:lang w:val="en-US"/>
        </w:rPr>
      </w:pPr>
      <w:r>
        <w:rPr>
          <w:rFonts w:hint="default"/>
          <w:lang w:val="en-US"/>
        </w:rPr>
        <w:t>Most modern currencies are fiat, meaning they are not backed by a physical commodity like gold but rather by the trust in the issuing government. The value of fiat currency stems from its status as legal tender, allowing it to be used for transactions and debt settlements.</w:t>
      </w:r>
    </w:p>
    <w:p w14:paraId="0C81D979">
      <w:pPr>
        <w:jc w:val="both"/>
        <w:rPr>
          <w:rFonts w:hint="default"/>
          <w:lang w:val="en-US"/>
        </w:rPr>
      </w:pPr>
    </w:p>
    <w:p w14:paraId="1E16FA0F">
      <w:pPr>
        <w:jc w:val="both"/>
        <w:rPr>
          <w:rFonts w:hint="default"/>
          <w:lang w:val="en-US"/>
        </w:rPr>
      </w:pPr>
      <w:r>
        <w:rPr>
          <w:rFonts w:hint="default"/>
          <w:lang w:val="en-US"/>
        </w:rPr>
        <w:t>The issuance process of currency begins with a monetary policy decision by the central bank. Based on economic indicators such as inflation, interest rates, and economic growth, the central bank determines the amount of currency to create. The creation of currency can occur through physical printing of money or more commonly through digital money creation, where the central bank credits commercial banks' reserves with digital currency.</w:t>
      </w:r>
    </w:p>
    <w:p w14:paraId="176B140B">
      <w:pPr>
        <w:jc w:val="both"/>
        <w:rPr>
          <w:rFonts w:hint="default"/>
          <w:lang w:val="en-US"/>
        </w:rPr>
      </w:pPr>
    </w:p>
    <w:p w14:paraId="1CA3ED2E">
      <w:pPr>
        <w:jc w:val="both"/>
        <w:rPr>
          <w:rFonts w:hint="default"/>
          <w:lang w:val="en-US"/>
        </w:rPr>
      </w:pPr>
      <w:r>
        <w:rPr>
          <w:rFonts w:hint="default"/>
          <w:lang w:val="en-US"/>
        </w:rPr>
        <w:t>Sometimes, currency creation involves the purchase of government bonds or securities. The central bank buys these financial instruments from commercial banks, increasing the banks' reserves and enabling them to extend more credit to businesses and consumers, thus stimulating economic activity.</w:t>
      </w:r>
    </w:p>
    <w:p w14:paraId="63F5D332">
      <w:pPr>
        <w:jc w:val="both"/>
        <w:rPr>
          <w:rFonts w:hint="default"/>
          <w:lang w:val="en-US"/>
        </w:rPr>
      </w:pPr>
    </w:p>
    <w:p w14:paraId="538D16C1">
      <w:pPr>
        <w:jc w:val="both"/>
        <w:rPr>
          <w:rFonts w:hint="default"/>
          <w:lang w:val="en-US"/>
        </w:rPr>
      </w:pPr>
      <w:r>
        <w:rPr>
          <w:rFonts w:hint="default"/>
          <w:lang w:val="en-US"/>
        </w:rPr>
        <w:t>Currency creation is meticulously recorded in financial statements through established accounting principles. Central banks maintain financial ledgers that categorize the issued currency as a liability, while the acquired assets (such as government bonds) are recorded accordingly. The accounting method used is double-entry accounting, ensuring that every transaction affects at least two accounts. For instance, when currency is issued, the central bank debits its assets (e.g., government bonds acquired) and credits its liabilities (e.g., currency in circulation).</w:t>
      </w:r>
    </w:p>
    <w:p w14:paraId="03E8F9FF">
      <w:pPr>
        <w:jc w:val="both"/>
        <w:rPr>
          <w:rFonts w:hint="default"/>
          <w:lang w:val="en-US"/>
        </w:rPr>
      </w:pPr>
    </w:p>
    <w:p w14:paraId="3C096EF4">
      <w:pPr>
        <w:jc w:val="both"/>
        <w:rPr>
          <w:rFonts w:hint="default"/>
          <w:lang w:val="en-US"/>
        </w:rPr>
      </w:pPr>
      <w:r>
        <w:rPr>
          <w:rFonts w:hint="default"/>
          <w:lang w:val="en-US"/>
        </w:rPr>
        <w:t>Once issued, the currency enters the financial system through commercial banks. The reserves of commercial banks at the central bank increase, providing them with the capacity to lend more money. The currency is then integrated into financial ledgers, including the general ledger, where all financial transactions are systematically recorded. The increase in the money supply influences various economic factors, including inflation, interest rates, and overall economic growth.</w:t>
      </w:r>
    </w:p>
    <w:p w14:paraId="37F38C50">
      <w:pPr>
        <w:jc w:val="both"/>
        <w:rPr>
          <w:rFonts w:hint="default"/>
          <w:lang w:val="en-US"/>
        </w:rPr>
      </w:pPr>
    </w:p>
    <w:p w14:paraId="7D33DC89">
      <w:pPr>
        <w:jc w:val="both"/>
        <w:rPr>
          <w:rFonts w:hint="default"/>
          <w:lang w:val="en-US"/>
        </w:rPr>
      </w:pPr>
      <w:r>
        <w:rPr>
          <w:rFonts w:hint="default"/>
          <w:lang w:val="en-US"/>
        </w:rPr>
        <w:t>Modern financial systems have increasingly adopted digital methods for transferring currency, enhancing speed, security, and efficiency in transactions. Digital banking systems rely on sophisticated accounting software that maintains accurate and real-time records of transactions in the bank’s ledgers and the general ledger. Digital transfers encompass traditional methods such as wire transfers and electronic funds transfers (EFT), as well as advanced real-time payment systems like SWIFT and SEPA.</w:t>
      </w:r>
    </w:p>
    <w:p w14:paraId="04F57832">
      <w:pPr>
        <w:jc w:val="both"/>
        <w:rPr>
          <w:rFonts w:hint="default"/>
          <w:lang w:val="en-US"/>
        </w:rPr>
      </w:pPr>
    </w:p>
    <w:p w14:paraId="10342673">
      <w:pPr>
        <w:jc w:val="both"/>
        <w:rPr>
          <w:rFonts w:hint="default"/>
          <w:lang w:val="en-US"/>
        </w:rPr>
      </w:pPr>
      <w:r>
        <w:rPr>
          <w:rFonts w:hint="default"/>
          <w:lang w:val="en-US"/>
        </w:rPr>
        <w:t>An emerging trend in digital currency transfer is the use of fast payment systems and direct bank-to-bank transfer services. These systems enable near-instantaneous transfers of funds, significantly improving transaction speed and liquidity. Notable examples of fast payment systems include the Faster Payments Service (FPS) in the UK, the Real-Time Payments (RTP) Network in the US, and the European SEPA Instant Credit Transfer (SCT Inst).</w:t>
      </w:r>
    </w:p>
    <w:p w14:paraId="41F13D45">
      <w:pPr>
        <w:jc w:val="both"/>
        <w:rPr>
          <w:rFonts w:hint="default"/>
          <w:lang w:val="en-US"/>
        </w:rPr>
      </w:pPr>
    </w:p>
    <w:p w14:paraId="4329DB43">
      <w:pPr>
        <w:jc w:val="both"/>
        <w:rPr>
          <w:rFonts w:hint="default"/>
          <w:lang w:val="en-US"/>
        </w:rPr>
      </w:pPr>
      <w:r>
        <w:rPr>
          <w:rFonts w:hint="default"/>
          <w:lang w:val="en-US"/>
        </w:rPr>
        <w:t>In addition, service providers like xvault.org are leading innovations in secure, fast, and direct bank-to-bank transfers. Utilizing advanced digital platforms, xvault.org offers real-time secure transfers of funds, credit, and shares through a Web Interface Application (WIA). This non-invasive system ensures fast, efficient, and secure transactions between banking institutions, leveraging advanced encryption and authentication technologies to maintain transaction integrity and reduce risks.</w:t>
      </w:r>
    </w:p>
    <w:p w14:paraId="1781625A">
      <w:pPr>
        <w:jc w:val="both"/>
        <w:rPr>
          <w:rFonts w:hint="default"/>
          <w:lang w:val="en-US"/>
        </w:rPr>
      </w:pPr>
    </w:p>
    <w:p w14:paraId="5111DC73">
      <w:pPr>
        <w:jc w:val="both"/>
        <w:rPr>
          <w:rFonts w:hint="default"/>
          <w:lang w:val="en-US"/>
        </w:rPr>
      </w:pPr>
      <w:r>
        <w:rPr>
          <w:rFonts w:hint="default"/>
          <w:lang w:val="en-US"/>
        </w:rPr>
        <w:t>Digital currency and block chain technology further transform financial transfers by offering a decentralized ledger system. Unlike traditional digital transfers managed by financial institutions through centralized ledgers, block chain technology records transactions on a public ledger, promoting transparency, security, and efficiency in the digital currency ecosystem.</w:t>
      </w:r>
    </w:p>
    <w:p w14:paraId="32EFB1C6">
      <w:pPr>
        <w:jc w:val="both"/>
        <w:rPr>
          <w:rFonts w:hint="default"/>
          <w:lang w:val="en-US"/>
        </w:rPr>
      </w:pPr>
    </w:p>
    <w:p w14:paraId="24383C43">
      <w:pPr>
        <w:jc w:val="both"/>
        <w:rPr>
          <w:rFonts w:hint="default"/>
          <w:lang w:val="en-US"/>
        </w:rPr>
      </w:pPr>
      <w:r>
        <w:rPr>
          <w:rFonts w:hint="default"/>
          <w:lang w:val="en-US"/>
        </w:rPr>
        <w:t>Accountancy plays a foundational role in managing currency from creation to transfer. Accounting principles such as the double-entry system, accrual accounting, and reconciliation processes support the accurate recording and reporting of financial transactions. Financial institutions and governments prepare comprehensive financial statements that reflect the currency's status in balance sheets, income statements, and cash flow statements. Additionally, audit and control measures are implemented to ensure compliance with regulatory standards and the integrity of financial records.</w:t>
      </w:r>
    </w:p>
    <w:p w14:paraId="3A8DFF03">
      <w:pPr>
        <w:jc w:val="both"/>
        <w:rPr>
          <w:rFonts w:hint="default"/>
          <w:lang w:val="en-US"/>
        </w:rPr>
      </w:pPr>
      <w:r>
        <w:rPr>
          <w:rFonts w:hint="default"/>
          <w:lang w:val="en-US"/>
        </w:rPr>
        <w:t xml:space="preserve">In conclusion, currency management encompasses a multifaceted process, starting from its creation by central banks, its integration into financial systems through commercial banks, and its modern digital transfer mechanisms. </w:t>
      </w:r>
    </w:p>
    <w:p w14:paraId="56E795AE">
      <w:pPr>
        <w:jc w:val="both"/>
        <w:rPr>
          <w:rFonts w:hint="default"/>
          <w:lang w:val="en-US"/>
        </w:rPr>
      </w:pPr>
    </w:p>
    <w:p w14:paraId="787991D0">
      <w:pPr>
        <w:jc w:val="both"/>
        <w:rPr>
          <w:rFonts w:hint="default"/>
          <w:lang w:val="en-US"/>
        </w:rPr>
      </w:pPr>
    </w:p>
    <w:p w14:paraId="25B2D4FD">
      <w:pPr>
        <w:jc w:val="both"/>
        <w:rPr>
          <w:rFonts w:hint="default"/>
          <w:lang w:val="en-US"/>
        </w:rPr>
      </w:pPr>
      <w:r>
        <w:rPr>
          <w:rFonts w:hint="default"/>
          <w:lang w:val="en-US"/>
        </w:rPr>
        <w:t>The evolution of currency, especially with digital and block chain technologies, signifies a shift towards faster, more secure, and transparent financial systems, where innovative service providers like xvault.org play a pivotal role in enhancing the efficiency of financial transactions.</w:t>
      </w:r>
    </w:p>
    <w:p w14:paraId="40816D7A">
      <w:pPr>
        <w:jc w:val="both"/>
        <w:rPr>
          <w:rFonts w:hint="default"/>
          <w:lang w:val="en-US"/>
        </w:rPr>
      </w:pPr>
    </w:p>
    <w:p w14:paraId="2870F392">
      <w:pPr>
        <w:jc w:val="both"/>
        <w:rPr>
          <w:rFonts w:hint="default"/>
          <w:lang w:val="en-US"/>
        </w:rPr>
      </w:pPr>
      <w:r>
        <w:rPr>
          <w:rFonts w:hint="default"/>
          <w:lang w:val="en-US"/>
        </w:rPr>
        <w:t>list of cashless payment transfer methods, ranging from traditional to emerging technologies:</w:t>
      </w:r>
    </w:p>
    <w:p w14:paraId="6D09EF3C">
      <w:pPr>
        <w:jc w:val="both"/>
        <w:rPr>
          <w:rFonts w:hint="default"/>
          <w:lang w:val="en-US"/>
        </w:rPr>
      </w:pPr>
      <w:r>
        <w:rPr>
          <w:rFonts w:hint="default"/>
          <w:lang w:val="en-US"/>
        </w:rPr>
        <w:t>1. Card-Based Payments</w:t>
      </w:r>
    </w:p>
    <w:p w14:paraId="761532E0">
      <w:pPr>
        <w:jc w:val="both"/>
        <w:rPr>
          <w:rFonts w:hint="default"/>
          <w:lang w:val="en-US"/>
        </w:rPr>
      </w:pPr>
      <w:r>
        <w:rPr>
          <w:rFonts w:hint="default"/>
          <w:lang w:val="en-US"/>
        </w:rPr>
        <w:t>Credit Cards: Visa, MasterCard, American Express, etc.</w:t>
      </w:r>
    </w:p>
    <w:p w14:paraId="748540DD">
      <w:pPr>
        <w:jc w:val="both"/>
        <w:rPr>
          <w:rFonts w:hint="default"/>
          <w:lang w:val="en-US"/>
        </w:rPr>
      </w:pPr>
      <w:r>
        <w:rPr>
          <w:rFonts w:hint="default"/>
          <w:lang w:val="en-US"/>
        </w:rPr>
        <w:t>Debit Cards: Linked directly to bank accounts.</w:t>
      </w:r>
    </w:p>
    <w:p w14:paraId="6C4C5548">
      <w:pPr>
        <w:jc w:val="both"/>
        <w:rPr>
          <w:rFonts w:hint="default"/>
          <w:lang w:val="en-US"/>
        </w:rPr>
      </w:pPr>
      <w:r>
        <w:rPr>
          <w:rFonts w:hint="default"/>
          <w:lang w:val="en-US"/>
        </w:rPr>
        <w:t>Prepaid Cards: Loadable cards used for specific spending.</w:t>
      </w:r>
    </w:p>
    <w:p w14:paraId="0A1A1605">
      <w:pPr>
        <w:jc w:val="both"/>
        <w:rPr>
          <w:rFonts w:hint="default"/>
          <w:lang w:val="en-US"/>
        </w:rPr>
      </w:pPr>
      <w:r>
        <w:rPr>
          <w:rFonts w:hint="default"/>
          <w:lang w:val="en-US"/>
        </w:rPr>
        <w:t>Contactless Cards: Tap-to-pay using NFC technology.</w:t>
      </w:r>
    </w:p>
    <w:p w14:paraId="463D5D7F">
      <w:pPr>
        <w:jc w:val="both"/>
        <w:rPr>
          <w:rFonts w:hint="default"/>
          <w:lang w:val="en-US"/>
        </w:rPr>
      </w:pPr>
      <w:r>
        <w:rPr>
          <w:rFonts w:hint="default"/>
          <w:lang w:val="en-US"/>
        </w:rPr>
        <w:t>Virtual Cards: Digital cards for online transactions.</w:t>
      </w:r>
    </w:p>
    <w:p w14:paraId="7CD05C03">
      <w:pPr>
        <w:jc w:val="both"/>
        <w:rPr>
          <w:rFonts w:hint="default"/>
          <w:lang w:val="en-US"/>
        </w:rPr>
      </w:pPr>
    </w:p>
    <w:p w14:paraId="25F13EDD">
      <w:pPr>
        <w:jc w:val="both"/>
        <w:rPr>
          <w:rFonts w:hint="default"/>
          <w:lang w:val="en-US"/>
        </w:rPr>
      </w:pPr>
      <w:r>
        <w:rPr>
          <w:rFonts w:hint="default"/>
          <w:lang w:val="en-US"/>
        </w:rPr>
        <w:t>2. Mobile Payment Solutions</w:t>
      </w:r>
    </w:p>
    <w:p w14:paraId="2695F4EE">
      <w:pPr>
        <w:jc w:val="both"/>
        <w:rPr>
          <w:rFonts w:hint="default"/>
          <w:lang w:val="en-US"/>
        </w:rPr>
      </w:pPr>
      <w:r>
        <w:rPr>
          <w:rFonts w:hint="default"/>
          <w:lang w:val="en-US"/>
        </w:rPr>
        <w:t>Mobile Wallets: Apple Pay, Google Wallet, Samsung Pay.</w:t>
      </w:r>
    </w:p>
    <w:p w14:paraId="05DF3268">
      <w:pPr>
        <w:jc w:val="both"/>
        <w:rPr>
          <w:rFonts w:hint="default"/>
          <w:lang w:val="en-US"/>
        </w:rPr>
      </w:pPr>
      <w:r>
        <w:rPr>
          <w:rFonts w:hint="default"/>
          <w:lang w:val="en-US"/>
        </w:rPr>
        <w:t>Payment Apps: PayPal, Venmo, Cash App, Zelle, Revolut.</w:t>
      </w:r>
    </w:p>
    <w:p w14:paraId="1F2AC936">
      <w:pPr>
        <w:jc w:val="both"/>
        <w:rPr>
          <w:rFonts w:hint="default"/>
          <w:lang w:val="en-US"/>
        </w:rPr>
      </w:pPr>
      <w:r>
        <w:rPr>
          <w:rFonts w:hint="default"/>
          <w:lang w:val="en-US"/>
        </w:rPr>
        <w:t>Banking Apps: Mobile apps provided by traditional banks.</w:t>
      </w:r>
    </w:p>
    <w:p w14:paraId="1AC8816E">
      <w:pPr>
        <w:jc w:val="both"/>
        <w:rPr>
          <w:rFonts w:hint="default"/>
          <w:lang w:val="en-US"/>
        </w:rPr>
      </w:pPr>
      <w:r>
        <w:rPr>
          <w:rFonts w:hint="default"/>
          <w:lang w:val="en-US"/>
        </w:rPr>
        <w:t>Peer-to-Peer (P2P) Payments: TransferWise, Payoneer.</w:t>
      </w:r>
    </w:p>
    <w:p w14:paraId="4D943BF1">
      <w:pPr>
        <w:jc w:val="both"/>
        <w:rPr>
          <w:rFonts w:hint="default"/>
          <w:lang w:val="en-US"/>
        </w:rPr>
      </w:pPr>
    </w:p>
    <w:p w14:paraId="3FD18422">
      <w:pPr>
        <w:jc w:val="both"/>
        <w:rPr>
          <w:rFonts w:hint="default"/>
          <w:lang w:val="en-US"/>
        </w:rPr>
      </w:pPr>
      <w:r>
        <w:rPr>
          <w:rFonts w:hint="default"/>
          <w:lang w:val="en-US"/>
        </w:rPr>
        <w:t>3. Wearable Payment Devices</w:t>
      </w:r>
    </w:p>
    <w:p w14:paraId="49A45BEB">
      <w:pPr>
        <w:jc w:val="both"/>
        <w:rPr>
          <w:rFonts w:hint="default"/>
          <w:lang w:val="en-US"/>
        </w:rPr>
      </w:pPr>
      <w:r>
        <w:rPr>
          <w:rFonts w:hint="default"/>
          <w:lang w:val="en-US"/>
        </w:rPr>
        <w:t>Smartwatches: Apple Watch, Samsung Galaxy Watch (via NFC).</w:t>
      </w:r>
    </w:p>
    <w:p w14:paraId="2C8EF88A">
      <w:pPr>
        <w:jc w:val="both"/>
        <w:rPr>
          <w:rFonts w:hint="default"/>
          <w:lang w:val="en-US"/>
        </w:rPr>
      </w:pPr>
      <w:r>
        <w:rPr>
          <w:rFonts w:hint="default"/>
          <w:lang w:val="en-US"/>
        </w:rPr>
        <w:t>Payment Rings: K Ring, McLEAR Ring.</w:t>
      </w:r>
    </w:p>
    <w:p w14:paraId="2F5E0CDF">
      <w:pPr>
        <w:jc w:val="both"/>
        <w:rPr>
          <w:rFonts w:hint="default"/>
          <w:lang w:val="en-US"/>
        </w:rPr>
      </w:pPr>
      <w:r>
        <w:rPr>
          <w:rFonts w:hint="default"/>
          <w:lang w:val="en-US"/>
        </w:rPr>
        <w:t>Fitness Trackers: Fitbit Pay, Garmin Pay.</w:t>
      </w:r>
    </w:p>
    <w:p w14:paraId="4B6BFDA9">
      <w:pPr>
        <w:jc w:val="both"/>
        <w:rPr>
          <w:rFonts w:hint="default"/>
          <w:lang w:val="en-US"/>
        </w:rPr>
      </w:pPr>
    </w:p>
    <w:p w14:paraId="6E09BDCE">
      <w:pPr>
        <w:jc w:val="both"/>
        <w:rPr>
          <w:rFonts w:hint="default"/>
          <w:lang w:val="en-US"/>
        </w:rPr>
      </w:pPr>
      <w:r>
        <w:rPr>
          <w:rFonts w:hint="default"/>
          <w:lang w:val="en-US"/>
        </w:rPr>
        <w:t>4. Biometric Payments</w:t>
      </w:r>
    </w:p>
    <w:p w14:paraId="0803227D">
      <w:pPr>
        <w:jc w:val="both"/>
        <w:rPr>
          <w:rFonts w:hint="default"/>
          <w:lang w:val="en-US"/>
        </w:rPr>
      </w:pPr>
      <w:r>
        <w:rPr>
          <w:rFonts w:hint="default"/>
          <w:lang w:val="en-US"/>
        </w:rPr>
        <w:t>Palm Scanning: Amazon One (swipe your palm to pay).</w:t>
      </w:r>
    </w:p>
    <w:p w14:paraId="5E717730">
      <w:pPr>
        <w:jc w:val="both"/>
        <w:rPr>
          <w:rFonts w:hint="default"/>
          <w:lang w:val="en-US"/>
        </w:rPr>
      </w:pPr>
      <w:r>
        <w:rPr>
          <w:rFonts w:hint="default"/>
          <w:lang w:val="en-US"/>
        </w:rPr>
        <w:t>Facial Recognition: Ali pay and We Chat in China.</w:t>
      </w:r>
    </w:p>
    <w:p w14:paraId="02224E23">
      <w:pPr>
        <w:jc w:val="both"/>
        <w:rPr>
          <w:rFonts w:hint="default"/>
          <w:lang w:val="en-US"/>
        </w:rPr>
      </w:pPr>
      <w:r>
        <w:rPr>
          <w:rFonts w:hint="default"/>
          <w:lang w:val="en-US"/>
        </w:rPr>
        <w:t>Fingerprint Scanning: Integrated into mobile devices and smartwatches.</w:t>
      </w:r>
    </w:p>
    <w:p w14:paraId="198BC49C">
      <w:pPr>
        <w:jc w:val="both"/>
        <w:rPr>
          <w:rFonts w:hint="default"/>
          <w:lang w:val="en-US"/>
        </w:rPr>
      </w:pPr>
    </w:p>
    <w:p w14:paraId="41D25FE7">
      <w:pPr>
        <w:jc w:val="both"/>
        <w:rPr>
          <w:rFonts w:hint="default"/>
          <w:lang w:val="en-US"/>
        </w:rPr>
      </w:pPr>
      <w:r>
        <w:rPr>
          <w:rFonts w:hint="default"/>
          <w:lang w:val="en-US"/>
        </w:rPr>
        <w:t>5. Contact less and Tap-to-Pay Technologies</w:t>
      </w:r>
    </w:p>
    <w:p w14:paraId="0331F9DE">
      <w:pPr>
        <w:jc w:val="both"/>
        <w:rPr>
          <w:rFonts w:hint="default"/>
          <w:lang w:val="en-US"/>
        </w:rPr>
      </w:pPr>
      <w:r>
        <w:rPr>
          <w:rFonts w:hint="default"/>
          <w:lang w:val="en-US"/>
        </w:rPr>
        <w:t>NFC (Near Field Communication): Used in cards, phones, and wearables.</w:t>
      </w:r>
    </w:p>
    <w:p w14:paraId="56EC9824">
      <w:pPr>
        <w:jc w:val="both"/>
        <w:rPr>
          <w:rFonts w:hint="default"/>
          <w:lang w:val="en-US"/>
        </w:rPr>
      </w:pPr>
      <w:r>
        <w:rPr>
          <w:rFonts w:hint="default"/>
          <w:lang w:val="en-US"/>
        </w:rPr>
        <w:t>RFID (Radio Frequency Identification): Often used in contact less cards and wristbands.</w:t>
      </w:r>
    </w:p>
    <w:p w14:paraId="57612746">
      <w:pPr>
        <w:jc w:val="both"/>
        <w:rPr>
          <w:rFonts w:hint="default"/>
          <w:lang w:val="en-US"/>
        </w:rPr>
      </w:pPr>
    </w:p>
    <w:p w14:paraId="0974619A">
      <w:pPr>
        <w:jc w:val="both"/>
        <w:rPr>
          <w:rFonts w:hint="default"/>
          <w:lang w:val="en-US"/>
        </w:rPr>
      </w:pPr>
      <w:r>
        <w:rPr>
          <w:rFonts w:hint="default"/>
          <w:lang w:val="en-US"/>
        </w:rPr>
        <w:t>6. Digital Banking Solutions</w:t>
      </w:r>
    </w:p>
    <w:p w14:paraId="60747B7E">
      <w:pPr>
        <w:jc w:val="both"/>
        <w:rPr>
          <w:rFonts w:hint="default"/>
          <w:lang w:val="en-US"/>
        </w:rPr>
      </w:pPr>
      <w:r>
        <w:rPr>
          <w:rFonts w:hint="default"/>
          <w:lang w:val="en-US"/>
        </w:rPr>
        <w:t>Neobanks: Fully digital banks like N26, Chime, Monzo.</w:t>
      </w:r>
    </w:p>
    <w:p w14:paraId="066A8FCD">
      <w:pPr>
        <w:jc w:val="both"/>
        <w:rPr>
          <w:rFonts w:hint="default"/>
          <w:lang w:val="en-US"/>
        </w:rPr>
      </w:pPr>
      <w:r>
        <w:rPr>
          <w:rFonts w:hint="default"/>
          <w:lang w:val="en-US"/>
        </w:rPr>
        <w:t>Cryptocurrency Wallets: Bitcoin, Ethereum wallets, Binance Pay.</w:t>
      </w:r>
    </w:p>
    <w:p w14:paraId="0D9C7C91">
      <w:pPr>
        <w:jc w:val="both"/>
        <w:rPr>
          <w:rFonts w:hint="default"/>
          <w:lang w:val="en-US"/>
        </w:rPr>
      </w:pPr>
    </w:p>
    <w:p w14:paraId="4809797F">
      <w:pPr>
        <w:jc w:val="both"/>
        <w:rPr>
          <w:rFonts w:hint="default"/>
          <w:lang w:val="en-US"/>
        </w:rPr>
      </w:pPr>
      <w:r>
        <w:rPr>
          <w:rFonts w:hint="default"/>
          <w:lang w:val="en-US"/>
        </w:rPr>
        <w:t>7. QR Code Payments</w:t>
      </w:r>
    </w:p>
    <w:p w14:paraId="7E7F43E7">
      <w:pPr>
        <w:jc w:val="both"/>
        <w:rPr>
          <w:rFonts w:hint="default"/>
          <w:lang w:val="en-US"/>
        </w:rPr>
      </w:pPr>
      <w:r>
        <w:rPr>
          <w:rFonts w:hint="default"/>
          <w:lang w:val="en-US"/>
        </w:rPr>
        <w:t>Dynamic and Static QR Codes: Alipay, WeChat Pay, Paytm, Bharat QR (India).</w:t>
      </w:r>
    </w:p>
    <w:p w14:paraId="066F2945">
      <w:pPr>
        <w:jc w:val="both"/>
        <w:rPr>
          <w:rFonts w:hint="default"/>
          <w:lang w:val="en-US"/>
        </w:rPr>
      </w:pPr>
    </w:p>
    <w:p w14:paraId="02635B67">
      <w:pPr>
        <w:jc w:val="both"/>
        <w:rPr>
          <w:rFonts w:hint="default"/>
          <w:lang w:val="en-US"/>
        </w:rPr>
      </w:pPr>
      <w:r>
        <w:rPr>
          <w:rFonts w:hint="default"/>
          <w:lang w:val="en-US"/>
        </w:rPr>
        <w:t>8. Direct Bank Transfers</w:t>
      </w:r>
    </w:p>
    <w:p w14:paraId="2639971F">
      <w:pPr>
        <w:jc w:val="both"/>
        <w:rPr>
          <w:rFonts w:hint="default"/>
          <w:lang w:val="en-US"/>
        </w:rPr>
      </w:pPr>
      <w:r>
        <w:rPr>
          <w:rFonts w:hint="default"/>
          <w:lang w:val="en-US"/>
        </w:rPr>
        <w:t>Instant Payment Services: SEPA Instant, Faster Payments (UK), UPI (India).</w:t>
      </w:r>
    </w:p>
    <w:p w14:paraId="4193F637">
      <w:pPr>
        <w:jc w:val="both"/>
        <w:rPr>
          <w:rFonts w:hint="default"/>
          <w:lang w:val="en-US"/>
        </w:rPr>
      </w:pPr>
      <w:r>
        <w:rPr>
          <w:rFonts w:hint="default"/>
          <w:lang w:val="en-US"/>
        </w:rPr>
        <w:t>Account-to-Account (A2A) Transfers: Open banking API s.</w:t>
      </w:r>
    </w:p>
    <w:p w14:paraId="408A1628">
      <w:pPr>
        <w:jc w:val="both"/>
        <w:rPr>
          <w:rFonts w:hint="default"/>
          <w:lang w:val="en-US"/>
        </w:rPr>
      </w:pPr>
    </w:p>
    <w:p w14:paraId="12C76108">
      <w:pPr>
        <w:jc w:val="both"/>
        <w:rPr>
          <w:rFonts w:hint="default"/>
          <w:lang w:val="en-US"/>
        </w:rPr>
      </w:pPr>
      <w:r>
        <w:rPr>
          <w:rFonts w:hint="default"/>
          <w:lang w:val="en-US"/>
        </w:rPr>
        <w:t>9. Embedded Payment Systems</w:t>
      </w:r>
    </w:p>
    <w:p w14:paraId="0E313538">
      <w:pPr>
        <w:jc w:val="both"/>
        <w:rPr>
          <w:rFonts w:hint="default"/>
          <w:lang w:val="en-US"/>
        </w:rPr>
      </w:pPr>
      <w:r>
        <w:rPr>
          <w:rFonts w:hint="default"/>
          <w:lang w:val="en-US"/>
        </w:rPr>
        <w:t>In-App Payments: Uber, Lyft, food delivery apps.</w:t>
      </w:r>
    </w:p>
    <w:p w14:paraId="041A923D">
      <w:pPr>
        <w:jc w:val="both"/>
        <w:rPr>
          <w:rFonts w:hint="default"/>
          <w:lang w:val="en-US"/>
        </w:rPr>
      </w:pPr>
      <w:r>
        <w:rPr>
          <w:rFonts w:hint="default"/>
          <w:lang w:val="en-US"/>
        </w:rPr>
        <w:t>Subscription Services: Recurring billing through apps and services.</w:t>
      </w:r>
    </w:p>
    <w:p w14:paraId="551A6AE1">
      <w:pPr>
        <w:jc w:val="both"/>
        <w:rPr>
          <w:rFonts w:hint="default"/>
          <w:lang w:val="en-US"/>
        </w:rPr>
      </w:pPr>
    </w:p>
    <w:p w14:paraId="4BAC88E2">
      <w:pPr>
        <w:jc w:val="both"/>
        <w:rPr>
          <w:rFonts w:hint="default"/>
          <w:lang w:val="en-US"/>
        </w:rPr>
      </w:pPr>
      <w:r>
        <w:rPr>
          <w:rFonts w:hint="default"/>
          <w:lang w:val="en-US"/>
        </w:rPr>
        <w:t>10. Other Innovative Methods</w:t>
      </w:r>
    </w:p>
    <w:p w14:paraId="6316A357">
      <w:pPr>
        <w:jc w:val="both"/>
        <w:rPr>
          <w:rFonts w:hint="default"/>
          <w:lang w:val="en-US"/>
        </w:rPr>
      </w:pPr>
      <w:r>
        <w:rPr>
          <w:rFonts w:hint="default"/>
          <w:lang w:val="en-US"/>
        </w:rPr>
        <w:t>Voice-Activated Payments: Through smart speakers like Amazon Alexa, Google Assistant.</w:t>
      </w:r>
    </w:p>
    <w:p w14:paraId="466FDFA9">
      <w:pPr>
        <w:jc w:val="both"/>
        <w:rPr>
          <w:rFonts w:hint="default"/>
          <w:lang w:val="en-US"/>
        </w:rPr>
      </w:pPr>
      <w:r>
        <w:rPr>
          <w:rFonts w:hint="default"/>
          <w:lang w:val="en-US"/>
        </w:rPr>
        <w:t>Smart Home Devices: Payments via IoT devices.</w:t>
      </w:r>
    </w:p>
    <w:p w14:paraId="2EB12BF1">
      <w:pPr>
        <w:jc w:val="both"/>
        <w:rPr>
          <w:rFonts w:hint="default"/>
          <w:lang w:val="en-US"/>
        </w:rPr>
      </w:pPr>
      <w:r>
        <w:rPr>
          <w:rFonts w:hint="default"/>
          <w:lang w:val="en-US"/>
        </w:rPr>
        <w:t>Augmented Reality (AR) &amp; Virtual Reality (VR) Payments: For purchases in virtual environments.</w:t>
      </w:r>
    </w:p>
    <w:p w14:paraId="3166DF1C">
      <w:pPr>
        <w:jc w:val="both"/>
        <w:rPr>
          <w:rFonts w:hint="default"/>
          <w:lang w:val="en-US"/>
        </w:rPr>
      </w:pPr>
    </w:p>
    <w:p w14:paraId="40016FFD">
      <w:pPr>
        <w:jc w:val="both"/>
        <w:rPr>
          <w:rFonts w:hint="default"/>
          <w:lang w:val="en-US"/>
        </w:rPr>
      </w:pPr>
    </w:p>
    <w:p w14:paraId="5EC403A4">
      <w:pPr>
        <w:jc w:val="both"/>
        <w:rPr>
          <w:rFonts w:hint="default"/>
          <w:lang w:val="en-US"/>
        </w:rPr>
      </w:pPr>
    </w:p>
    <w:p w14:paraId="09A3F677">
      <w:pPr>
        <w:jc w:val="both"/>
        <w:rPr>
          <w:rFonts w:hint="default"/>
          <w:lang w:val="en-US"/>
        </w:rPr>
      </w:pPr>
    </w:p>
    <w:p w14:paraId="1706D275">
      <w:pPr>
        <w:jc w:val="both"/>
        <w:rPr>
          <w:rFonts w:hint="default"/>
          <w:lang w:val="en-US"/>
        </w:rPr>
      </w:pPr>
    </w:p>
    <w:p w14:paraId="554CB9B2">
      <w:pPr>
        <w:jc w:val="both"/>
        <w:rPr>
          <w:rFonts w:hint="default"/>
          <w:lang w:val="en-US"/>
        </w:rPr>
      </w:pPr>
    </w:p>
    <w:p w14:paraId="73F36091">
      <w:pPr>
        <w:jc w:val="both"/>
        <w:rPr>
          <w:rFonts w:hint="default"/>
          <w:lang w:val="en-US"/>
        </w:rPr>
      </w:pPr>
    </w:p>
    <w:p w14:paraId="00254651">
      <w:pPr>
        <w:jc w:val="both"/>
        <w:rPr>
          <w:rFonts w:hint="default"/>
          <w:lang w:val="en-US"/>
        </w:rPr>
      </w:pPr>
    </w:p>
    <w:p w14:paraId="3799C028">
      <w:pPr>
        <w:jc w:val="both"/>
        <w:rPr>
          <w:rFonts w:hint="default"/>
          <w:lang w:val="en-US"/>
        </w:rPr>
      </w:pPr>
    </w:p>
    <w:p w14:paraId="51708481">
      <w:pPr>
        <w:jc w:val="both"/>
        <w:rPr>
          <w:rFonts w:hint="default"/>
          <w:lang w:val="en-US"/>
        </w:rPr>
      </w:pPr>
    </w:p>
    <w:p w14:paraId="115D3E36">
      <w:pPr>
        <w:jc w:val="both"/>
        <w:rPr>
          <w:rFonts w:hint="default"/>
          <w:lang w:val="en-US"/>
        </w:rPr>
      </w:pPr>
    </w:p>
    <w:p w14:paraId="7AE261C0">
      <w:pPr>
        <w:jc w:val="both"/>
        <w:rPr>
          <w:rFonts w:hint="default"/>
          <w:lang w:val="en-US"/>
        </w:rPr>
      </w:pPr>
    </w:p>
    <w:p w14:paraId="128EA4A3">
      <w:pPr>
        <w:jc w:val="both"/>
        <w:rPr>
          <w:rFonts w:hint="default"/>
          <w:lang w:val="en-US"/>
        </w:rPr>
      </w:pPr>
    </w:p>
    <w:p w14:paraId="08C5D866">
      <w:pPr>
        <w:jc w:val="both"/>
        <w:rPr>
          <w:rFonts w:hint="default"/>
          <w:lang w:val="en-US"/>
        </w:rPr>
      </w:pPr>
    </w:p>
    <w:p w14:paraId="178804B6">
      <w:pPr>
        <w:jc w:val="both"/>
        <w:rPr>
          <w:rFonts w:hint="default"/>
          <w:lang w:val="en-US"/>
        </w:rPr>
      </w:pPr>
    </w:p>
    <w:p w14:paraId="6B31BAFA">
      <w:pPr>
        <w:jc w:val="both"/>
        <w:rPr>
          <w:rFonts w:hint="default"/>
          <w:lang w:val="en-US"/>
        </w:rPr>
      </w:pPr>
    </w:p>
    <w:p w14:paraId="2102D2DC">
      <w:pPr>
        <w:jc w:val="both"/>
        <w:rPr>
          <w:rFonts w:hint="default"/>
          <w:lang w:val="en-US"/>
        </w:rPr>
      </w:pPr>
    </w:p>
    <w:p w14:paraId="3334FE0E">
      <w:pPr>
        <w:jc w:val="both"/>
        <w:rPr>
          <w:rFonts w:hint="default"/>
          <w:lang w:val="en-US"/>
        </w:rPr>
      </w:pPr>
    </w:p>
    <w:p w14:paraId="3D31AEC4">
      <w:pPr>
        <w:jc w:val="both"/>
        <w:rPr>
          <w:rFonts w:hint="default"/>
          <w:lang w:val="en-US"/>
        </w:rPr>
      </w:pPr>
    </w:p>
    <w:p w14:paraId="68C1714D">
      <w:pPr>
        <w:jc w:val="both"/>
        <w:rPr>
          <w:rFonts w:hint="default"/>
          <w:lang w:val="en-US"/>
        </w:rPr>
      </w:pPr>
    </w:p>
    <w:p w14:paraId="23E5C3DC">
      <w:pPr>
        <w:jc w:val="both"/>
        <w:rPr>
          <w:rFonts w:hint="default"/>
          <w:lang w:val="en-US"/>
        </w:rPr>
      </w:pPr>
    </w:p>
    <w:p w14:paraId="0522FA74">
      <w:pPr>
        <w:jc w:val="both"/>
        <w:rPr>
          <w:rFonts w:hint="default"/>
          <w:lang w:val="en-US"/>
        </w:rPr>
      </w:pPr>
    </w:p>
    <w:p w14:paraId="0765057F">
      <w:pPr>
        <w:jc w:val="both"/>
        <w:rPr>
          <w:rFonts w:hint="default"/>
          <w:lang w:val="en-US"/>
        </w:rPr>
      </w:pPr>
    </w:p>
    <w:p w14:paraId="2039F79E">
      <w:pPr>
        <w:jc w:val="both"/>
        <w:rPr>
          <w:rFonts w:hint="default"/>
          <w:lang w:val="en-US"/>
        </w:rPr>
      </w:pPr>
    </w:p>
    <w:p w14:paraId="464226AD">
      <w:pPr>
        <w:jc w:val="both"/>
        <w:rPr>
          <w:rFonts w:hint="default"/>
          <w:lang w:val="en-US"/>
        </w:rPr>
      </w:pPr>
    </w:p>
    <w:p w14:paraId="1378461B">
      <w:pPr>
        <w:jc w:val="both"/>
        <w:rPr>
          <w:rFonts w:hint="default"/>
          <w:lang w:val="en-US"/>
        </w:rPr>
      </w:pPr>
    </w:p>
    <w:p w14:paraId="60C2876F">
      <w:pPr>
        <w:jc w:val="both"/>
        <w:rPr>
          <w:rFonts w:hint="default"/>
          <w:lang w:val="en-US"/>
        </w:rPr>
      </w:pPr>
    </w:p>
    <w:p w14:paraId="3F485C35">
      <w:pPr>
        <w:jc w:val="both"/>
        <w:rPr>
          <w:rFonts w:hint="default"/>
          <w:lang w:val="en-US"/>
        </w:rPr>
      </w:pPr>
    </w:p>
    <w:p w14:paraId="6C42F3E1">
      <w:pPr>
        <w:jc w:val="both"/>
        <w:rPr>
          <w:rFonts w:hint="default"/>
          <w:lang w:val="en-US"/>
        </w:rPr>
      </w:pPr>
    </w:p>
    <w:p w14:paraId="47EB148B">
      <w:pPr>
        <w:jc w:val="both"/>
        <w:rPr>
          <w:rFonts w:hint="default"/>
          <w:lang w:val="en-US"/>
        </w:rPr>
      </w:pPr>
    </w:p>
    <w:p w14:paraId="23FE3FD5">
      <w:pPr>
        <w:jc w:val="both"/>
        <w:rPr>
          <w:rFonts w:hint="default"/>
          <w:lang w:val="en-US"/>
        </w:rPr>
      </w:pPr>
    </w:p>
    <w:p w14:paraId="44F24973">
      <w:pPr>
        <w:jc w:val="both"/>
        <w:rPr>
          <w:rFonts w:hint="default"/>
          <w:lang w:val="en-US"/>
        </w:rPr>
      </w:pPr>
    </w:p>
    <w:p w14:paraId="4ACC9972">
      <w:pPr>
        <w:jc w:val="both"/>
        <w:rPr>
          <w:rFonts w:hint="default"/>
          <w:lang w:val="en-US"/>
        </w:rPr>
      </w:pPr>
    </w:p>
    <w:p w14:paraId="65A3D4E6">
      <w:pPr>
        <w:jc w:val="both"/>
        <w:rPr>
          <w:rFonts w:hint="default"/>
          <w:lang w:val="en-US"/>
        </w:rPr>
      </w:pPr>
    </w:p>
    <w:p w14:paraId="3FA308FA">
      <w:pPr>
        <w:jc w:val="both"/>
        <w:rPr>
          <w:rFonts w:hint="default"/>
          <w:lang w:val="en-US"/>
        </w:rPr>
      </w:pPr>
    </w:p>
    <w:p w14:paraId="7C68A36D">
      <w:pPr>
        <w:jc w:val="both"/>
        <w:rPr>
          <w:rFonts w:hint="default"/>
          <w:lang w:val="en-US"/>
        </w:rPr>
      </w:pPr>
    </w:p>
    <w:p w14:paraId="0AE78E67">
      <w:pPr>
        <w:jc w:val="both"/>
        <w:rPr>
          <w:rFonts w:hint="default"/>
          <w:lang w:val="en-US"/>
        </w:rPr>
      </w:pPr>
    </w:p>
    <w:p w14:paraId="0FAC1762">
      <w:pPr>
        <w:jc w:val="both"/>
        <w:rPr>
          <w:rFonts w:hint="default"/>
          <w:lang w:val="en-US"/>
        </w:rPr>
      </w:pPr>
    </w:p>
    <w:p w14:paraId="78A6A6AE">
      <w:pPr>
        <w:jc w:val="both"/>
        <w:rPr>
          <w:rFonts w:hint="default"/>
          <w:lang w:val="en-US"/>
        </w:rPr>
      </w:pPr>
    </w:p>
    <w:p w14:paraId="55713A1F">
      <w:pPr>
        <w:jc w:val="both"/>
        <w:rPr>
          <w:rFonts w:hint="default"/>
          <w:lang w:val="en-US"/>
        </w:rPr>
      </w:pPr>
    </w:p>
    <w:p w14:paraId="5E2BD189">
      <w:pPr>
        <w:jc w:val="both"/>
        <w:rPr>
          <w:rFonts w:hint="default"/>
          <w:lang w:val="en-US"/>
        </w:rPr>
      </w:pPr>
    </w:p>
    <w:p w14:paraId="23AE0FD9">
      <w:pPr>
        <w:jc w:val="both"/>
        <w:rPr>
          <w:rFonts w:hint="default"/>
          <w:lang w:val="en-US"/>
        </w:rPr>
      </w:pPr>
    </w:p>
    <w:p w14:paraId="10E40094">
      <w:pPr>
        <w:jc w:val="both"/>
        <w:rPr>
          <w:rFonts w:hint="default"/>
          <w:lang w:val="en-US"/>
        </w:rPr>
      </w:pPr>
    </w:p>
    <w:p w14:paraId="5D5D7232">
      <w:pPr>
        <w:jc w:val="center"/>
        <w:rPr>
          <w:rFonts w:hint="default"/>
          <w:b/>
          <w:bCs/>
          <w:sz w:val="32"/>
          <w:szCs w:val="32"/>
          <w:lang w:val="en-US"/>
        </w:rPr>
      </w:pPr>
      <w:r>
        <w:rPr>
          <w:rFonts w:hint="default"/>
          <w:b/>
          <w:bCs/>
          <w:sz w:val="32"/>
          <w:szCs w:val="32"/>
          <w:lang w:val="en-US"/>
        </w:rPr>
        <w:t>Strategic Policy Brief</w:t>
      </w:r>
    </w:p>
    <w:p w14:paraId="10720912">
      <w:pPr>
        <w:jc w:val="both"/>
        <w:rPr>
          <w:rFonts w:hint="default"/>
          <w:lang w:val="en-US"/>
        </w:rPr>
      </w:pPr>
    </w:p>
    <w:p w14:paraId="45C4BC4D">
      <w:pPr>
        <w:jc w:val="both"/>
        <w:rPr>
          <w:rFonts w:hint="default"/>
          <w:lang w:val="en-US"/>
        </w:rPr>
      </w:pPr>
      <w:r>
        <w:rPr>
          <w:rFonts w:hint="default"/>
          <w:lang w:val="en-US"/>
        </w:rPr>
        <w:t>Title: Transitioning from a Hard USD Peg to a Programmable Peg Model for Syno Aurelius: A 10-Year Strategic Plan to Enhance Monetary Sovereignty, Fiscal Independence, and Investor Confidence</w:t>
      </w:r>
    </w:p>
    <w:p w14:paraId="77F374D4">
      <w:pPr>
        <w:jc w:val="both"/>
        <w:rPr>
          <w:rFonts w:hint="default"/>
          <w:lang w:val="en-US"/>
        </w:rPr>
      </w:pPr>
    </w:p>
    <w:p w14:paraId="192AD438">
      <w:pPr>
        <w:jc w:val="both"/>
        <w:rPr>
          <w:rFonts w:hint="default"/>
          <w:lang w:val="en-US"/>
        </w:rPr>
      </w:pPr>
      <w:r>
        <w:rPr>
          <w:rFonts w:hint="default"/>
          <w:lang w:val="en-US"/>
        </w:rPr>
        <w:t>Prepared for: The Crown Office of His Majesty Karolys Ignatius fon Lotharinge, Monarch of the Constitutional Monarchy of Syno Aurelius</w:t>
      </w:r>
      <w:r>
        <w:rPr>
          <w:rFonts w:hint="default"/>
          <w:lang w:val="en-US"/>
        </w:rPr>
        <w:br w:type="textWrapping"/>
      </w:r>
      <w:r>
        <w:rPr>
          <w:rFonts w:hint="default"/>
          <w:lang w:val="en-US"/>
        </w:rPr>
        <w:t>Prepared by: Office of the Monetary Sovereignty Council</w:t>
      </w:r>
      <w:r>
        <w:rPr>
          <w:rFonts w:hint="default"/>
          <w:lang w:val="en-US"/>
        </w:rPr>
        <w:br w:type="textWrapping"/>
      </w:r>
      <w:r>
        <w:rPr>
          <w:rFonts w:hint="default"/>
          <w:lang w:val="en-US"/>
        </w:rPr>
        <w:t>Date: April 2025</w:t>
      </w:r>
    </w:p>
    <w:p w14:paraId="69949444">
      <w:pPr>
        <w:jc w:val="both"/>
        <w:rPr>
          <w:rFonts w:hint="default"/>
          <w:lang w:val="en-US"/>
        </w:rPr>
      </w:pPr>
    </w:p>
    <w:p w14:paraId="218EF31E">
      <w:pPr>
        <w:jc w:val="both"/>
        <w:rPr>
          <w:rFonts w:hint="default"/>
          <w:lang w:val="en-US"/>
        </w:rPr>
      </w:pPr>
    </w:p>
    <w:p w14:paraId="1B839EEE">
      <w:pPr>
        <w:jc w:val="both"/>
        <w:rPr>
          <w:rFonts w:hint="default"/>
          <w:b/>
          <w:bCs/>
          <w:lang w:val="en-US"/>
        </w:rPr>
      </w:pPr>
      <w:r>
        <w:rPr>
          <w:rFonts w:hint="default"/>
          <w:b/>
          <w:bCs/>
          <w:lang w:val="en-US"/>
        </w:rPr>
        <w:t>Executive Summary</w:t>
      </w:r>
    </w:p>
    <w:p w14:paraId="486717C4">
      <w:pPr>
        <w:jc w:val="both"/>
        <w:rPr>
          <w:rFonts w:hint="default"/>
          <w:lang w:val="en-US"/>
        </w:rPr>
      </w:pPr>
      <w:r>
        <w:rPr>
          <w:rFonts w:hint="default"/>
          <w:lang w:val="en-US"/>
        </w:rPr>
        <w:t>This strategic policy brief outlines a phased 10-year road map for transitioning the Syno Aurelius Dollar (SAD) from a rigid 1:1 peg to the US Dollar (USD) to a sophisticated, AI-governed programmable peg model. The goal is to retain external credibility and macroeconomic stability while expanding domestic monetary sovereignty, enabling responsive fiscal policies, and deepening global investor trust.</w:t>
      </w:r>
    </w:p>
    <w:p w14:paraId="7E896922">
      <w:pPr>
        <w:jc w:val="both"/>
        <w:rPr>
          <w:rFonts w:hint="default"/>
          <w:lang w:val="en-US"/>
        </w:rPr>
      </w:pPr>
    </w:p>
    <w:p w14:paraId="1B274F80">
      <w:pPr>
        <w:jc w:val="both"/>
        <w:rPr>
          <w:rFonts w:hint="default"/>
          <w:b/>
          <w:bCs/>
          <w:lang w:val="en-US"/>
        </w:rPr>
      </w:pPr>
      <w:r>
        <w:rPr>
          <w:rFonts w:hint="default"/>
          <w:b/>
          <w:bCs/>
          <w:lang w:val="en-US"/>
        </w:rPr>
        <w:t>1. Background and Rationale</w:t>
      </w:r>
    </w:p>
    <w:p w14:paraId="6D4ADC3E">
      <w:pPr>
        <w:jc w:val="both"/>
        <w:rPr>
          <w:rFonts w:hint="default"/>
          <w:lang w:val="en-US"/>
        </w:rPr>
      </w:pPr>
      <w:r>
        <w:rPr>
          <w:rFonts w:hint="default"/>
          <w:lang w:val="en-US"/>
        </w:rPr>
        <w:t>The current hard peg to the USD has served as a stabilizing mechanism for Syno Aurelius, especially in the early formation phase. It has:</w:t>
      </w:r>
    </w:p>
    <w:p w14:paraId="7EF39B3C">
      <w:pPr>
        <w:jc w:val="both"/>
        <w:rPr>
          <w:rFonts w:hint="default"/>
          <w:lang w:val="en-US"/>
        </w:rPr>
      </w:pPr>
    </w:p>
    <w:p w14:paraId="736C7BF8">
      <w:pPr>
        <w:jc w:val="both"/>
        <w:rPr>
          <w:rFonts w:hint="default"/>
          <w:lang w:val="en-US"/>
        </w:rPr>
      </w:pPr>
      <w:r>
        <w:rPr>
          <w:rFonts w:hint="default"/>
          <w:lang w:val="en-US"/>
        </w:rPr>
        <w:t>Fostered international trust</w:t>
      </w:r>
    </w:p>
    <w:p w14:paraId="11182718">
      <w:pPr>
        <w:jc w:val="both"/>
        <w:rPr>
          <w:rFonts w:hint="default"/>
          <w:lang w:val="en-US"/>
        </w:rPr>
      </w:pPr>
      <w:r>
        <w:rPr>
          <w:rFonts w:hint="default"/>
          <w:lang w:val="en-US"/>
        </w:rPr>
        <w:t>Attracted digital investment</w:t>
      </w:r>
    </w:p>
    <w:p w14:paraId="1A71D630">
      <w:pPr>
        <w:jc w:val="both"/>
        <w:rPr>
          <w:rFonts w:hint="default"/>
          <w:lang w:val="en-US"/>
        </w:rPr>
      </w:pPr>
      <w:r>
        <w:rPr>
          <w:rFonts w:hint="default"/>
          <w:lang w:val="en-US"/>
        </w:rPr>
        <w:t>Supported pricing predictability</w:t>
      </w:r>
    </w:p>
    <w:p w14:paraId="5921F28E">
      <w:pPr>
        <w:jc w:val="both"/>
        <w:rPr>
          <w:rFonts w:hint="default"/>
          <w:lang w:val="en-US"/>
        </w:rPr>
      </w:pPr>
    </w:p>
    <w:p w14:paraId="2DE13739">
      <w:pPr>
        <w:jc w:val="both"/>
        <w:rPr>
          <w:rFonts w:hint="default"/>
          <w:lang w:val="en-US"/>
        </w:rPr>
      </w:pPr>
      <w:r>
        <w:rPr>
          <w:rFonts w:hint="default"/>
          <w:lang w:val="en-US"/>
        </w:rPr>
        <w:t>However, over-reliance on an external currency can:</w:t>
      </w:r>
    </w:p>
    <w:p w14:paraId="1B792A88">
      <w:pPr>
        <w:jc w:val="both"/>
        <w:rPr>
          <w:rFonts w:hint="default"/>
          <w:lang w:val="en-US"/>
        </w:rPr>
      </w:pPr>
    </w:p>
    <w:p w14:paraId="7D98CCE5">
      <w:pPr>
        <w:jc w:val="both"/>
        <w:rPr>
          <w:rFonts w:hint="default"/>
          <w:lang w:val="en-US"/>
        </w:rPr>
      </w:pPr>
      <w:r>
        <w:rPr>
          <w:rFonts w:hint="default"/>
          <w:lang w:val="en-US"/>
        </w:rPr>
        <w:t>Limit monetary flexibility</w:t>
      </w:r>
    </w:p>
    <w:p w14:paraId="6D5D18A8">
      <w:pPr>
        <w:jc w:val="both"/>
        <w:rPr>
          <w:rFonts w:hint="default"/>
          <w:lang w:val="en-US"/>
        </w:rPr>
      </w:pPr>
      <w:r>
        <w:rPr>
          <w:rFonts w:hint="default"/>
          <w:lang w:val="en-US"/>
        </w:rPr>
        <w:t>Import inflation/deflation from the USD zone</w:t>
      </w:r>
    </w:p>
    <w:p w14:paraId="28B49026">
      <w:pPr>
        <w:jc w:val="both"/>
        <w:rPr>
          <w:rFonts w:hint="default"/>
          <w:lang w:val="en-US"/>
        </w:rPr>
      </w:pPr>
      <w:r>
        <w:rPr>
          <w:rFonts w:hint="default"/>
          <w:lang w:val="en-US"/>
        </w:rPr>
        <w:t>Restrict sovereign digital finance innovation</w:t>
      </w:r>
    </w:p>
    <w:p w14:paraId="2B5746A9">
      <w:pPr>
        <w:jc w:val="both"/>
        <w:rPr>
          <w:rFonts w:hint="default"/>
          <w:lang w:val="en-US"/>
        </w:rPr>
      </w:pPr>
    </w:p>
    <w:p w14:paraId="45F70CC1">
      <w:pPr>
        <w:jc w:val="both"/>
        <w:rPr>
          <w:rFonts w:hint="default"/>
          <w:lang w:val="en-US"/>
        </w:rPr>
      </w:pPr>
      <w:r>
        <w:rPr>
          <w:rFonts w:hint="default"/>
          <w:lang w:val="en-US"/>
        </w:rPr>
        <w:t>The transition to a programmable peg would allow Syno Aurelius to:</w:t>
      </w:r>
    </w:p>
    <w:p w14:paraId="340CE9D0">
      <w:pPr>
        <w:jc w:val="both"/>
        <w:rPr>
          <w:rFonts w:hint="default"/>
          <w:lang w:val="en-US"/>
        </w:rPr>
      </w:pPr>
    </w:p>
    <w:p w14:paraId="3C9960FB">
      <w:pPr>
        <w:jc w:val="both"/>
        <w:rPr>
          <w:rFonts w:hint="default"/>
          <w:lang w:val="en-US"/>
        </w:rPr>
      </w:pPr>
      <w:r>
        <w:rPr>
          <w:rFonts w:hint="default"/>
          <w:lang w:val="en-US"/>
        </w:rPr>
        <w:t>Retain international confidence</w:t>
      </w:r>
    </w:p>
    <w:p w14:paraId="4AB3026C">
      <w:pPr>
        <w:jc w:val="both"/>
        <w:rPr>
          <w:rFonts w:hint="default"/>
          <w:lang w:val="en-US"/>
        </w:rPr>
      </w:pPr>
      <w:r>
        <w:rPr>
          <w:rFonts w:hint="default"/>
          <w:lang w:val="en-US"/>
        </w:rPr>
        <w:t>Adjust domestic monetary policy dynamically</w:t>
      </w:r>
    </w:p>
    <w:p w14:paraId="394850A8">
      <w:pPr>
        <w:jc w:val="both"/>
        <w:rPr>
          <w:rFonts w:hint="default"/>
          <w:lang w:val="en-US"/>
        </w:rPr>
      </w:pPr>
      <w:r>
        <w:rPr>
          <w:rFonts w:hint="default"/>
          <w:lang w:val="en-US"/>
        </w:rPr>
        <w:t>Anchor its economy on diversified, data-driven fundamentals</w:t>
      </w:r>
    </w:p>
    <w:p w14:paraId="298B59B3">
      <w:pPr>
        <w:jc w:val="both"/>
        <w:rPr>
          <w:rFonts w:hint="default"/>
          <w:lang w:val="en-US"/>
        </w:rPr>
      </w:pPr>
    </w:p>
    <w:p w14:paraId="685BA817">
      <w:pPr>
        <w:jc w:val="both"/>
        <w:rPr>
          <w:rFonts w:hint="default"/>
          <w:lang w:val="en-US"/>
        </w:rPr>
      </w:pPr>
    </w:p>
    <w:p w14:paraId="114E1369">
      <w:pPr>
        <w:jc w:val="both"/>
        <w:rPr>
          <w:rFonts w:hint="default"/>
          <w:lang w:val="en-US"/>
        </w:rPr>
      </w:pPr>
      <w:r>
        <w:rPr>
          <w:rFonts w:hint="default"/>
          <w:lang w:val="en-US"/>
        </w:rPr>
        <w:t>2. Goals of the Transition</w:t>
      </w:r>
    </w:p>
    <w:p w14:paraId="78D45277">
      <w:pPr>
        <w:jc w:val="both"/>
        <w:rPr>
          <w:rFonts w:hint="default"/>
          <w:lang w:val="en-US"/>
        </w:rPr>
      </w:pPr>
    </w:p>
    <w:p w14:paraId="07618CBF">
      <w:pPr>
        <w:numPr>
          <w:ilvl w:val="0"/>
          <w:numId w:val="17"/>
        </w:numPr>
        <w:ind w:left="845" w:leftChars="0" w:hanging="425" w:firstLineChars="0"/>
        <w:jc w:val="both"/>
        <w:rPr>
          <w:rFonts w:hint="default"/>
          <w:lang w:val="en-US"/>
        </w:rPr>
      </w:pPr>
      <w:r>
        <w:rPr>
          <w:rFonts w:hint="default"/>
          <w:lang w:val="en-US"/>
        </w:rPr>
        <w:t>Establish monetary policy autonomy while retaining stability</w:t>
      </w:r>
    </w:p>
    <w:p w14:paraId="1D98A6AA">
      <w:pPr>
        <w:jc w:val="both"/>
        <w:rPr>
          <w:rFonts w:hint="default"/>
          <w:lang w:val="en-US"/>
        </w:rPr>
      </w:pPr>
    </w:p>
    <w:p w14:paraId="0C22E332">
      <w:pPr>
        <w:numPr>
          <w:ilvl w:val="0"/>
          <w:numId w:val="17"/>
        </w:numPr>
        <w:ind w:left="845" w:leftChars="0" w:hanging="425" w:firstLineChars="0"/>
        <w:jc w:val="both"/>
        <w:rPr>
          <w:rFonts w:hint="default"/>
          <w:lang w:val="en-US"/>
        </w:rPr>
      </w:pPr>
      <w:r>
        <w:rPr>
          <w:rFonts w:hint="default"/>
          <w:lang w:val="en-US"/>
        </w:rPr>
        <w:t>Develop algorithmic peg parameters using real-time economic indicators</w:t>
      </w:r>
    </w:p>
    <w:p w14:paraId="0A83AD78">
      <w:pPr>
        <w:jc w:val="both"/>
        <w:rPr>
          <w:rFonts w:hint="default"/>
          <w:lang w:val="en-US"/>
        </w:rPr>
      </w:pPr>
    </w:p>
    <w:p w14:paraId="6C6EA242">
      <w:pPr>
        <w:numPr>
          <w:ilvl w:val="0"/>
          <w:numId w:val="17"/>
        </w:numPr>
        <w:ind w:left="845" w:leftChars="0" w:hanging="425" w:firstLineChars="0"/>
        <w:jc w:val="both"/>
        <w:rPr>
          <w:rFonts w:hint="default"/>
          <w:lang w:val="en-US"/>
        </w:rPr>
      </w:pPr>
      <w:r>
        <w:rPr>
          <w:rFonts w:hint="default"/>
          <w:lang w:val="en-US"/>
        </w:rPr>
        <w:t>Diversify reserve assets beyond the USD</w:t>
      </w:r>
    </w:p>
    <w:p w14:paraId="0B7CDB74">
      <w:pPr>
        <w:jc w:val="both"/>
        <w:rPr>
          <w:rFonts w:hint="default"/>
          <w:lang w:val="en-US"/>
        </w:rPr>
      </w:pPr>
    </w:p>
    <w:p w14:paraId="6B3974C0">
      <w:pPr>
        <w:numPr>
          <w:ilvl w:val="0"/>
          <w:numId w:val="17"/>
        </w:numPr>
        <w:ind w:left="845" w:leftChars="0" w:hanging="425" w:firstLineChars="0"/>
        <w:jc w:val="both"/>
        <w:rPr>
          <w:rFonts w:hint="default"/>
          <w:lang w:val="en-US"/>
        </w:rPr>
      </w:pPr>
      <w:r>
        <w:rPr>
          <w:rFonts w:hint="default"/>
          <w:lang w:val="en-US"/>
        </w:rPr>
        <w:t>Maintain investor confidence through transparency and smart-contract governance</w:t>
      </w:r>
    </w:p>
    <w:p w14:paraId="383BB92B">
      <w:pPr>
        <w:jc w:val="both"/>
        <w:rPr>
          <w:rFonts w:hint="default"/>
          <w:lang w:val="en-US"/>
        </w:rPr>
      </w:pPr>
    </w:p>
    <w:p w14:paraId="65465DF8">
      <w:pPr>
        <w:numPr>
          <w:ilvl w:val="0"/>
          <w:numId w:val="17"/>
        </w:numPr>
        <w:ind w:left="845" w:leftChars="0" w:hanging="425" w:firstLineChars="0"/>
        <w:jc w:val="both"/>
        <w:rPr>
          <w:rFonts w:hint="default"/>
          <w:lang w:val="en-US"/>
        </w:rPr>
      </w:pPr>
      <w:r>
        <w:rPr>
          <w:rFonts w:hint="default"/>
          <w:lang w:val="en-US"/>
        </w:rPr>
        <w:t>Digitally enhance sovereign debt management</w:t>
      </w:r>
    </w:p>
    <w:p w14:paraId="3E88F050">
      <w:pPr>
        <w:jc w:val="both"/>
        <w:rPr>
          <w:rFonts w:hint="default"/>
          <w:lang w:val="en-US"/>
        </w:rPr>
      </w:pPr>
    </w:p>
    <w:p w14:paraId="531A3CF0">
      <w:pPr>
        <w:jc w:val="both"/>
        <w:rPr>
          <w:rFonts w:hint="default"/>
          <w:lang w:val="en-US"/>
        </w:rPr>
      </w:pPr>
    </w:p>
    <w:p w14:paraId="1B962CBE">
      <w:pPr>
        <w:jc w:val="both"/>
        <w:rPr>
          <w:rFonts w:hint="default"/>
          <w:lang w:val="en-US"/>
        </w:rPr>
      </w:pPr>
    </w:p>
    <w:p w14:paraId="5948445F">
      <w:pPr>
        <w:jc w:val="both"/>
        <w:rPr>
          <w:rFonts w:hint="default"/>
          <w:lang w:val="en-US"/>
        </w:rPr>
      </w:pPr>
      <w:r>
        <w:rPr>
          <w:rFonts w:hint="default"/>
          <w:lang w:val="en-US"/>
        </w:rPr>
        <w:t>3. The 10-Year Transition Plan</w:t>
      </w:r>
    </w:p>
    <w:p w14:paraId="39D24AA7">
      <w:pPr>
        <w:jc w:val="both"/>
        <w:rPr>
          <w:rFonts w:hint="default"/>
          <w:lang w:val="en-US"/>
        </w:rPr>
      </w:pPr>
      <w:r>
        <w:rPr>
          <w:rFonts w:hint="default"/>
          <w:lang w:val="en-US"/>
        </w:rPr>
        <w:t>Phase 1 (Year 1-2): Foundations and Research</w:t>
      </w:r>
    </w:p>
    <w:p w14:paraId="09610362">
      <w:pPr>
        <w:jc w:val="both"/>
        <w:rPr>
          <w:rFonts w:hint="default"/>
          <w:lang w:val="en-US"/>
        </w:rPr>
      </w:pPr>
    </w:p>
    <w:p w14:paraId="0CE3ACAA">
      <w:pPr>
        <w:numPr>
          <w:ilvl w:val="0"/>
          <w:numId w:val="18"/>
        </w:numPr>
        <w:ind w:left="845" w:leftChars="0" w:hanging="425" w:firstLineChars="0"/>
        <w:jc w:val="both"/>
        <w:rPr>
          <w:rFonts w:hint="default"/>
          <w:lang w:val="en-US"/>
        </w:rPr>
      </w:pPr>
      <w:r>
        <w:rPr>
          <w:rFonts w:hint="default"/>
          <w:lang w:val="en-US"/>
        </w:rPr>
        <w:t>Create a Monetary Programming Unit within the Central Monetary Authority (CMA)</w:t>
      </w:r>
    </w:p>
    <w:p w14:paraId="181CEA9A">
      <w:pPr>
        <w:numPr>
          <w:ilvl w:val="0"/>
          <w:numId w:val="18"/>
        </w:numPr>
        <w:ind w:left="845" w:leftChars="0" w:hanging="425" w:firstLineChars="0"/>
        <w:jc w:val="both"/>
        <w:rPr>
          <w:rFonts w:hint="default"/>
          <w:lang w:val="en-US"/>
        </w:rPr>
      </w:pPr>
      <w:r>
        <w:rPr>
          <w:rFonts w:hint="default"/>
          <w:lang w:val="en-US"/>
        </w:rPr>
        <w:t>Launch the Syno Sovereign Stability Index (SSSI): a composite indicator tracking inflation, productivity, reserve strength, and trade</w:t>
      </w:r>
    </w:p>
    <w:p w14:paraId="05D35C54">
      <w:pPr>
        <w:numPr>
          <w:ilvl w:val="0"/>
          <w:numId w:val="18"/>
        </w:numPr>
        <w:ind w:left="845" w:leftChars="0" w:hanging="425" w:firstLineChars="0"/>
        <w:jc w:val="both"/>
        <w:rPr>
          <w:rFonts w:hint="default"/>
          <w:lang w:val="en-US"/>
        </w:rPr>
      </w:pPr>
      <w:r>
        <w:rPr>
          <w:rFonts w:hint="default"/>
          <w:lang w:val="en-US"/>
        </w:rPr>
        <w:t>Develop programmable peg prototype (PPM v1.0) tied 70% to USD, 30% to a currency basket</w:t>
      </w:r>
    </w:p>
    <w:p w14:paraId="24BD4257">
      <w:pPr>
        <w:numPr>
          <w:ilvl w:val="0"/>
          <w:numId w:val="18"/>
        </w:numPr>
        <w:ind w:left="845" w:leftChars="0" w:hanging="425" w:firstLineChars="0"/>
        <w:jc w:val="both"/>
        <w:rPr>
          <w:rFonts w:hint="default"/>
          <w:lang w:val="en-US"/>
        </w:rPr>
      </w:pPr>
      <w:r>
        <w:rPr>
          <w:rFonts w:hint="default"/>
          <w:lang w:val="en-US"/>
        </w:rPr>
        <w:t>Begin strategic reserve accumulation in EUR, CNY, and XAU (gold)</w:t>
      </w:r>
    </w:p>
    <w:p w14:paraId="49E86FC8">
      <w:pPr>
        <w:jc w:val="both"/>
        <w:rPr>
          <w:rFonts w:hint="default"/>
          <w:lang w:val="en-US"/>
        </w:rPr>
      </w:pPr>
    </w:p>
    <w:p w14:paraId="01920F23">
      <w:pPr>
        <w:jc w:val="both"/>
        <w:rPr>
          <w:rFonts w:hint="default"/>
          <w:lang w:val="en-US"/>
        </w:rPr>
      </w:pPr>
      <w:r>
        <w:rPr>
          <w:rFonts w:hint="default"/>
          <w:lang w:val="en-US"/>
        </w:rPr>
        <w:t>Phase 2 (Year 3-5): Early Hybridization</w:t>
      </w:r>
    </w:p>
    <w:p w14:paraId="60CB99AF">
      <w:pPr>
        <w:jc w:val="both"/>
        <w:rPr>
          <w:rFonts w:hint="default"/>
          <w:lang w:val="en-US"/>
        </w:rPr>
      </w:pPr>
    </w:p>
    <w:p w14:paraId="5BCF00D7">
      <w:pPr>
        <w:numPr>
          <w:ilvl w:val="0"/>
          <w:numId w:val="19"/>
        </w:numPr>
        <w:ind w:left="845" w:leftChars="0" w:hanging="425" w:firstLineChars="0"/>
        <w:jc w:val="both"/>
        <w:rPr>
          <w:rFonts w:hint="default"/>
          <w:lang w:val="en-US"/>
        </w:rPr>
      </w:pPr>
      <w:r>
        <w:rPr>
          <w:rFonts w:hint="default"/>
          <w:lang w:val="en-US"/>
        </w:rPr>
        <w:t>Deploy Programmable Peg Smart Contracts on the Sovereign Blockchain Ledger</w:t>
      </w:r>
    </w:p>
    <w:p w14:paraId="1CF3975D">
      <w:pPr>
        <w:numPr>
          <w:ilvl w:val="0"/>
          <w:numId w:val="19"/>
        </w:numPr>
        <w:ind w:left="845" w:leftChars="0" w:hanging="425" w:firstLineChars="0"/>
        <w:jc w:val="both"/>
        <w:rPr>
          <w:rFonts w:hint="default"/>
          <w:lang w:val="en-US"/>
        </w:rPr>
      </w:pPr>
      <w:r>
        <w:rPr>
          <w:rFonts w:hint="default"/>
          <w:lang w:val="en-US"/>
        </w:rPr>
        <w:t>Enable SAD settlement in multi-currency formats via xvault.org platform</w:t>
      </w:r>
    </w:p>
    <w:p w14:paraId="7325460E">
      <w:pPr>
        <w:numPr>
          <w:ilvl w:val="0"/>
          <w:numId w:val="19"/>
        </w:numPr>
        <w:ind w:left="845" w:leftChars="0" w:hanging="425" w:firstLineChars="0"/>
        <w:jc w:val="both"/>
        <w:rPr>
          <w:rFonts w:hint="default"/>
          <w:lang w:val="en-US"/>
        </w:rPr>
      </w:pPr>
      <w:r>
        <w:rPr>
          <w:rFonts w:hint="default"/>
          <w:lang w:val="en-US"/>
        </w:rPr>
        <w:t>Initiate a soft currency corridor with trade partner nations</w:t>
      </w:r>
    </w:p>
    <w:p w14:paraId="62081649">
      <w:pPr>
        <w:numPr>
          <w:ilvl w:val="0"/>
          <w:numId w:val="19"/>
        </w:numPr>
        <w:ind w:left="845" w:leftChars="0" w:hanging="425" w:firstLineChars="0"/>
        <w:jc w:val="both"/>
        <w:rPr>
          <w:rFonts w:hint="default"/>
          <w:lang w:val="en-US"/>
        </w:rPr>
      </w:pPr>
      <w:r>
        <w:rPr>
          <w:rFonts w:hint="default"/>
          <w:lang w:val="en-US"/>
        </w:rPr>
        <w:t>Peg: USD 60%, Basket 30%, Algorithmic Index 10%</w:t>
      </w:r>
    </w:p>
    <w:p w14:paraId="1E009ABD">
      <w:pPr>
        <w:jc w:val="both"/>
        <w:rPr>
          <w:rFonts w:hint="default"/>
          <w:lang w:val="en-US"/>
        </w:rPr>
      </w:pPr>
    </w:p>
    <w:p w14:paraId="018126DC">
      <w:pPr>
        <w:jc w:val="both"/>
        <w:rPr>
          <w:rFonts w:hint="default"/>
          <w:lang w:val="en-US"/>
        </w:rPr>
      </w:pPr>
      <w:r>
        <w:rPr>
          <w:rFonts w:hint="default"/>
          <w:lang w:val="en-US"/>
        </w:rPr>
        <w:t>Phase 3 (Year 6-8): Domestic Monetization and Smart Inflation Targeting</w:t>
      </w:r>
    </w:p>
    <w:p w14:paraId="407B8470">
      <w:pPr>
        <w:jc w:val="both"/>
        <w:rPr>
          <w:rFonts w:hint="default"/>
          <w:lang w:val="en-US"/>
        </w:rPr>
      </w:pPr>
    </w:p>
    <w:p w14:paraId="04BB3424">
      <w:pPr>
        <w:numPr>
          <w:ilvl w:val="0"/>
          <w:numId w:val="20"/>
        </w:numPr>
        <w:ind w:left="845" w:leftChars="0" w:hanging="425" w:firstLineChars="0"/>
        <w:jc w:val="both"/>
        <w:rPr>
          <w:rFonts w:hint="default"/>
          <w:lang w:val="en-US"/>
        </w:rPr>
      </w:pPr>
      <w:r>
        <w:rPr>
          <w:rFonts w:hint="default"/>
          <w:lang w:val="en-US"/>
        </w:rPr>
        <w:t>Launch SAD-backed domestic bonds with AI-based interest calibration</w:t>
      </w:r>
    </w:p>
    <w:p w14:paraId="697F7456">
      <w:pPr>
        <w:numPr>
          <w:ilvl w:val="0"/>
          <w:numId w:val="20"/>
        </w:numPr>
        <w:ind w:left="845" w:leftChars="0" w:hanging="425" w:firstLineChars="0"/>
        <w:jc w:val="both"/>
        <w:rPr>
          <w:rFonts w:hint="default"/>
          <w:lang w:val="en-US"/>
        </w:rPr>
      </w:pPr>
      <w:r>
        <w:rPr>
          <w:rFonts w:hint="default"/>
          <w:lang w:val="en-US"/>
        </w:rPr>
        <w:t>Train neural bots to adjust peg weights monthly based on trade, capital flow, and inflation metrics</w:t>
      </w:r>
    </w:p>
    <w:p w14:paraId="14C8DD7D">
      <w:pPr>
        <w:numPr>
          <w:ilvl w:val="0"/>
          <w:numId w:val="20"/>
        </w:numPr>
        <w:ind w:left="845" w:leftChars="0" w:hanging="425" w:firstLineChars="0"/>
        <w:jc w:val="both"/>
        <w:rPr>
          <w:rFonts w:hint="default"/>
          <w:lang w:val="en-US"/>
        </w:rPr>
      </w:pPr>
      <w:r>
        <w:rPr>
          <w:rFonts w:hint="default"/>
          <w:lang w:val="en-US"/>
        </w:rPr>
        <w:t>Peg: USD 45%, Basket 35%, Algorithmic Index 20%</w:t>
      </w:r>
    </w:p>
    <w:p w14:paraId="344EDF23">
      <w:pPr>
        <w:numPr>
          <w:ilvl w:val="0"/>
          <w:numId w:val="20"/>
        </w:numPr>
        <w:ind w:left="845" w:leftChars="0" w:hanging="425" w:firstLineChars="0"/>
        <w:jc w:val="both"/>
        <w:rPr>
          <w:rFonts w:hint="default"/>
          <w:lang w:val="en-US"/>
        </w:rPr>
      </w:pPr>
      <w:r>
        <w:rPr>
          <w:rFonts w:hint="default"/>
          <w:lang w:val="en-US"/>
        </w:rPr>
        <w:t>Phase 4 (Year 9-10): Programmable Sovereignty Realization</w:t>
      </w:r>
    </w:p>
    <w:p w14:paraId="395B4029">
      <w:pPr>
        <w:numPr>
          <w:ilvl w:val="0"/>
          <w:numId w:val="20"/>
        </w:numPr>
        <w:ind w:left="845" w:leftChars="0" w:hanging="425" w:firstLineChars="0"/>
        <w:jc w:val="both"/>
        <w:rPr>
          <w:rFonts w:hint="default"/>
          <w:lang w:val="en-US"/>
        </w:rPr>
      </w:pPr>
      <w:r>
        <w:rPr>
          <w:rFonts w:hint="default"/>
          <w:lang w:val="en-US"/>
        </w:rPr>
        <w:t>Full deployment of Syno Aurelius Peg Engine (SAPE) with AI governance</w:t>
      </w:r>
    </w:p>
    <w:p w14:paraId="64CEF4CF">
      <w:pPr>
        <w:numPr>
          <w:ilvl w:val="0"/>
          <w:numId w:val="20"/>
        </w:numPr>
        <w:ind w:left="845" w:leftChars="0" w:hanging="425" w:firstLineChars="0"/>
        <w:jc w:val="both"/>
        <w:rPr>
          <w:rFonts w:hint="default"/>
          <w:lang w:val="en-US"/>
        </w:rPr>
      </w:pPr>
      <w:r>
        <w:rPr>
          <w:rFonts w:hint="default"/>
          <w:lang w:val="en-US"/>
        </w:rPr>
        <w:t>SAD moves to a dynamic peg with real-time programmable adjustments</w:t>
      </w:r>
    </w:p>
    <w:p w14:paraId="6899B96B">
      <w:pPr>
        <w:numPr>
          <w:ilvl w:val="0"/>
          <w:numId w:val="20"/>
        </w:numPr>
        <w:ind w:left="845" w:leftChars="0" w:hanging="425" w:firstLineChars="0"/>
        <w:jc w:val="both"/>
        <w:rPr>
          <w:rFonts w:hint="default"/>
          <w:lang w:val="en-US"/>
        </w:rPr>
      </w:pPr>
      <w:r>
        <w:rPr>
          <w:rFonts w:hint="default"/>
          <w:lang w:val="en-US"/>
        </w:rPr>
        <w:t>Peg: Dynamic based on live SSSI and algorithmic rules (USD under 30%)</w:t>
      </w:r>
    </w:p>
    <w:p w14:paraId="432732D2">
      <w:pPr>
        <w:numPr>
          <w:ilvl w:val="0"/>
          <w:numId w:val="20"/>
        </w:numPr>
        <w:ind w:left="845" w:leftChars="0" w:hanging="425" w:firstLineChars="0"/>
        <w:jc w:val="both"/>
        <w:rPr>
          <w:rFonts w:hint="default"/>
          <w:lang w:val="en-US"/>
        </w:rPr>
      </w:pPr>
      <w:r>
        <w:rPr>
          <w:rFonts w:hint="default"/>
          <w:lang w:val="en-US"/>
        </w:rPr>
        <w:t>Publish bi-monthly Transparency Reports for investor assurance</w:t>
      </w:r>
    </w:p>
    <w:p w14:paraId="2BB9651D">
      <w:pPr>
        <w:jc w:val="both"/>
        <w:rPr>
          <w:rFonts w:hint="default"/>
          <w:lang w:val="en-US"/>
        </w:rPr>
      </w:pPr>
    </w:p>
    <w:p w14:paraId="4AE9F5BC">
      <w:pPr>
        <w:jc w:val="both"/>
        <w:rPr>
          <w:rFonts w:hint="default"/>
          <w:lang w:val="en-US"/>
        </w:rPr>
      </w:pPr>
    </w:p>
    <w:p w14:paraId="340AB358">
      <w:pPr>
        <w:jc w:val="both"/>
        <w:rPr>
          <w:rFonts w:hint="default"/>
          <w:lang w:val="en-US"/>
        </w:rPr>
      </w:pPr>
      <w:r>
        <w:rPr>
          <w:rFonts w:hint="default"/>
          <w:lang w:val="en-US"/>
        </w:rPr>
        <w:t>4. Institutional and Regulatory Requirements</w:t>
      </w:r>
    </w:p>
    <w:p w14:paraId="5EED8D3B">
      <w:pPr>
        <w:jc w:val="both"/>
        <w:rPr>
          <w:rFonts w:hint="default"/>
          <w:lang w:val="en-US"/>
        </w:rPr>
      </w:pPr>
    </w:p>
    <w:p w14:paraId="4B29F368">
      <w:pPr>
        <w:numPr>
          <w:ilvl w:val="0"/>
          <w:numId w:val="21"/>
        </w:numPr>
        <w:ind w:left="845" w:leftChars="0" w:hanging="425" w:firstLineChars="0"/>
        <w:jc w:val="both"/>
        <w:rPr>
          <w:rFonts w:hint="default"/>
          <w:lang w:val="en-US"/>
        </w:rPr>
      </w:pPr>
      <w:r>
        <w:rPr>
          <w:rFonts w:hint="default"/>
          <w:lang w:val="en-US"/>
        </w:rPr>
        <w:t>Establish the Syno Aurelius Peg Policy Board (SAPB) for oversight</w:t>
      </w:r>
    </w:p>
    <w:p w14:paraId="2C04A023">
      <w:pPr>
        <w:numPr>
          <w:ilvl w:val="0"/>
          <w:numId w:val="21"/>
        </w:numPr>
        <w:ind w:left="845" w:leftChars="0" w:hanging="425" w:firstLineChars="0"/>
        <w:jc w:val="both"/>
        <w:rPr>
          <w:rFonts w:hint="default"/>
          <w:lang w:val="en-US"/>
        </w:rPr>
      </w:pPr>
      <w:r>
        <w:rPr>
          <w:rFonts w:hint="default"/>
          <w:lang w:val="en-US"/>
        </w:rPr>
        <w:t>Amend national digital currency laws to allow programmable monetary governance</w:t>
      </w:r>
    </w:p>
    <w:p w14:paraId="232311A8">
      <w:pPr>
        <w:numPr>
          <w:ilvl w:val="0"/>
          <w:numId w:val="21"/>
        </w:numPr>
        <w:ind w:left="845" w:leftChars="0" w:hanging="425" w:firstLineChars="0"/>
        <w:jc w:val="both"/>
        <w:rPr>
          <w:rFonts w:hint="default"/>
          <w:lang w:val="en-US"/>
        </w:rPr>
      </w:pPr>
      <w:r>
        <w:rPr>
          <w:rFonts w:hint="default"/>
          <w:lang w:val="en-US"/>
        </w:rPr>
        <w:t>Ensure Basel III+ compliant reserve ratios</w:t>
      </w:r>
    </w:p>
    <w:p w14:paraId="2FE38EE6">
      <w:pPr>
        <w:numPr>
          <w:ilvl w:val="0"/>
          <w:numId w:val="21"/>
        </w:numPr>
        <w:ind w:left="845" w:leftChars="0" w:hanging="425" w:firstLineChars="0"/>
        <w:jc w:val="both"/>
        <w:rPr>
          <w:rFonts w:hint="default"/>
          <w:lang w:val="en-US"/>
        </w:rPr>
      </w:pPr>
      <w:r>
        <w:rPr>
          <w:rFonts w:hint="default"/>
          <w:lang w:val="en-US"/>
        </w:rPr>
        <w:t>Partner with international auditing firms for sovereign peg reviews</w:t>
      </w:r>
    </w:p>
    <w:p w14:paraId="7D6FB195">
      <w:pPr>
        <w:jc w:val="both"/>
        <w:rPr>
          <w:rFonts w:hint="default"/>
          <w:lang w:val="en-US"/>
        </w:rPr>
      </w:pPr>
    </w:p>
    <w:p w14:paraId="2C081ABD">
      <w:pPr>
        <w:jc w:val="both"/>
        <w:rPr>
          <w:rFonts w:hint="default"/>
          <w:lang w:val="en-US"/>
        </w:rPr>
      </w:pPr>
    </w:p>
    <w:p w14:paraId="33C197A7">
      <w:pPr>
        <w:jc w:val="both"/>
        <w:rPr>
          <w:rFonts w:hint="default"/>
          <w:lang w:val="en-US"/>
        </w:rPr>
      </w:pPr>
      <w:r>
        <w:rPr>
          <w:rFonts w:hint="default"/>
          <w:lang w:val="en-US"/>
        </w:rPr>
        <w:t>5. Benefits and Risk Mitigation</w:t>
      </w:r>
    </w:p>
    <w:p w14:paraId="272459BA">
      <w:pPr>
        <w:jc w:val="both"/>
        <w:rPr>
          <w:rFonts w:hint="default"/>
          <w:lang w:val="en-US"/>
        </w:rPr>
      </w:pPr>
      <w:r>
        <w:rPr>
          <w:rFonts w:hint="default"/>
          <w:lang w:val="en-US"/>
        </w:rPr>
        <w:t>Benefits:</w:t>
      </w:r>
    </w:p>
    <w:p w14:paraId="66DD77E8">
      <w:pPr>
        <w:jc w:val="both"/>
        <w:rPr>
          <w:rFonts w:hint="default"/>
          <w:lang w:val="en-US"/>
        </w:rPr>
      </w:pPr>
    </w:p>
    <w:p w14:paraId="42045C87">
      <w:pPr>
        <w:numPr>
          <w:ilvl w:val="0"/>
          <w:numId w:val="22"/>
        </w:numPr>
        <w:ind w:left="845" w:leftChars="0" w:hanging="425" w:firstLineChars="0"/>
        <w:jc w:val="both"/>
        <w:rPr>
          <w:rFonts w:hint="default"/>
          <w:lang w:val="en-US"/>
        </w:rPr>
      </w:pPr>
      <w:r>
        <w:rPr>
          <w:rFonts w:hint="default"/>
          <w:lang w:val="en-US"/>
        </w:rPr>
        <w:t>Enhanced monetary control</w:t>
      </w:r>
    </w:p>
    <w:p w14:paraId="547B4E4A">
      <w:pPr>
        <w:numPr>
          <w:ilvl w:val="0"/>
          <w:numId w:val="22"/>
        </w:numPr>
        <w:ind w:left="845" w:leftChars="0" w:hanging="425" w:firstLineChars="0"/>
        <w:jc w:val="both"/>
        <w:rPr>
          <w:rFonts w:hint="default"/>
          <w:lang w:val="en-US"/>
        </w:rPr>
      </w:pPr>
      <w:r>
        <w:rPr>
          <w:rFonts w:hint="default"/>
          <w:lang w:val="en-US"/>
        </w:rPr>
        <w:t>Increased resilience to USD volatility</w:t>
      </w:r>
    </w:p>
    <w:p w14:paraId="7991B753">
      <w:pPr>
        <w:numPr>
          <w:ilvl w:val="0"/>
          <w:numId w:val="22"/>
        </w:numPr>
        <w:ind w:left="845" w:leftChars="0" w:hanging="425" w:firstLineChars="0"/>
        <w:jc w:val="both"/>
        <w:rPr>
          <w:rFonts w:hint="default"/>
          <w:lang w:val="en-US"/>
        </w:rPr>
      </w:pPr>
      <w:r>
        <w:rPr>
          <w:rFonts w:hint="default"/>
          <w:lang w:val="en-US"/>
        </w:rPr>
        <w:t>Sovereign debt issuance in programmable smart contracts</w:t>
      </w:r>
    </w:p>
    <w:p w14:paraId="3E0374FD">
      <w:pPr>
        <w:numPr>
          <w:ilvl w:val="0"/>
          <w:numId w:val="22"/>
        </w:numPr>
        <w:ind w:left="845" w:leftChars="0" w:hanging="425" w:firstLineChars="0"/>
        <w:jc w:val="both"/>
        <w:rPr>
          <w:rFonts w:hint="default"/>
          <w:lang w:val="en-US"/>
        </w:rPr>
      </w:pPr>
      <w:r>
        <w:rPr>
          <w:rFonts w:hint="default"/>
          <w:lang w:val="en-US"/>
        </w:rPr>
        <w:t>AI-driven inflation targeting</w:t>
      </w:r>
    </w:p>
    <w:p w14:paraId="26269AEE">
      <w:pPr>
        <w:jc w:val="both"/>
        <w:rPr>
          <w:rFonts w:hint="default"/>
          <w:lang w:val="en-US"/>
        </w:rPr>
      </w:pPr>
    </w:p>
    <w:p w14:paraId="66F63D3C">
      <w:pPr>
        <w:jc w:val="both"/>
        <w:rPr>
          <w:rFonts w:hint="default"/>
          <w:lang w:val="en-US"/>
        </w:rPr>
      </w:pPr>
      <w:r>
        <w:rPr>
          <w:rFonts w:hint="default"/>
          <w:lang w:val="en-US"/>
        </w:rPr>
        <w:t>Risks &amp; Mitigation:</w:t>
      </w:r>
    </w:p>
    <w:tbl>
      <w:tblPr>
        <w:tblStyle w:val="5"/>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29"/>
        <w:gridCol w:w="4941"/>
      </w:tblGrid>
      <w:tr w14:paraId="3E082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353A96F3">
            <w:pPr>
              <w:jc w:val="both"/>
              <w:rPr>
                <w:rFonts w:hint="default"/>
                <w:lang w:val="en-US"/>
              </w:rPr>
            </w:pPr>
            <w:r>
              <w:rPr>
                <w:rFonts w:hint="default"/>
                <w:lang w:val="en-US" w:eastAsia="zh-CN"/>
              </w:rPr>
              <w:t>Risk</w:t>
            </w:r>
          </w:p>
        </w:tc>
        <w:tc>
          <w:tcPr>
            <w:tcW w:w="0" w:type="auto"/>
            <w:shd w:val="clear" w:color="auto" w:fill="auto"/>
            <w:vAlign w:val="center"/>
          </w:tcPr>
          <w:p w14:paraId="7F438276">
            <w:pPr>
              <w:jc w:val="both"/>
              <w:rPr>
                <w:rFonts w:hint="default"/>
                <w:lang w:val="en-US"/>
              </w:rPr>
            </w:pPr>
            <w:r>
              <w:rPr>
                <w:rFonts w:hint="default"/>
                <w:lang w:val="en-US" w:eastAsia="zh-CN"/>
              </w:rPr>
              <w:t>Mitigation Strategy</w:t>
            </w:r>
          </w:p>
        </w:tc>
      </w:tr>
      <w:tr w14:paraId="73EEA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3104C91">
            <w:pPr>
              <w:jc w:val="both"/>
              <w:rPr>
                <w:rFonts w:hint="default"/>
                <w:lang w:val="en-US"/>
              </w:rPr>
            </w:pPr>
            <w:r>
              <w:rPr>
                <w:rFonts w:hint="default"/>
                <w:lang w:val="en-US" w:eastAsia="zh-CN"/>
              </w:rPr>
              <w:t>Peg instability</w:t>
            </w:r>
          </w:p>
        </w:tc>
        <w:tc>
          <w:tcPr>
            <w:tcW w:w="0" w:type="auto"/>
            <w:shd w:val="clear" w:color="auto" w:fill="auto"/>
            <w:vAlign w:val="center"/>
          </w:tcPr>
          <w:p w14:paraId="572A3570">
            <w:pPr>
              <w:jc w:val="both"/>
              <w:rPr>
                <w:rFonts w:hint="default"/>
                <w:lang w:val="en-US"/>
              </w:rPr>
            </w:pPr>
            <w:r>
              <w:rPr>
                <w:rFonts w:hint="default"/>
                <w:lang w:val="en-US" w:eastAsia="zh-CN"/>
              </w:rPr>
              <w:t>Gradual shift with algorithm testing &amp; simulations</w:t>
            </w:r>
          </w:p>
        </w:tc>
      </w:tr>
      <w:tr w14:paraId="628DF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ABAB0CE">
            <w:pPr>
              <w:jc w:val="both"/>
              <w:rPr>
                <w:rFonts w:hint="default"/>
                <w:lang w:val="en-US"/>
              </w:rPr>
            </w:pPr>
            <w:r>
              <w:rPr>
                <w:rFonts w:hint="default"/>
                <w:lang w:val="en-US" w:eastAsia="zh-CN"/>
              </w:rPr>
              <w:t>Capital flight</w:t>
            </w:r>
          </w:p>
        </w:tc>
        <w:tc>
          <w:tcPr>
            <w:tcW w:w="0" w:type="auto"/>
            <w:shd w:val="clear" w:color="auto" w:fill="auto"/>
            <w:vAlign w:val="center"/>
          </w:tcPr>
          <w:p w14:paraId="65CAB5C1">
            <w:pPr>
              <w:jc w:val="both"/>
              <w:rPr>
                <w:rFonts w:hint="default"/>
                <w:lang w:val="en-US"/>
              </w:rPr>
            </w:pPr>
            <w:r>
              <w:rPr>
                <w:rFonts w:hint="default"/>
                <w:lang w:val="en-US" w:eastAsia="zh-CN"/>
              </w:rPr>
              <w:t>Enhanced investor communication &amp; capital flow regulation</w:t>
            </w:r>
          </w:p>
        </w:tc>
      </w:tr>
      <w:tr w14:paraId="6B53D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5551C982">
            <w:pPr>
              <w:jc w:val="both"/>
              <w:rPr>
                <w:rFonts w:hint="default"/>
                <w:lang w:val="en-US"/>
              </w:rPr>
            </w:pPr>
            <w:r>
              <w:rPr>
                <w:rFonts w:hint="default"/>
                <w:lang w:val="en-US" w:eastAsia="zh-CN"/>
              </w:rPr>
              <w:t>Technical vulnerabilities</w:t>
            </w:r>
          </w:p>
        </w:tc>
        <w:tc>
          <w:tcPr>
            <w:tcW w:w="0" w:type="auto"/>
            <w:shd w:val="clear" w:color="auto" w:fill="auto"/>
            <w:vAlign w:val="center"/>
          </w:tcPr>
          <w:p w14:paraId="36372CEF">
            <w:pPr>
              <w:jc w:val="both"/>
              <w:rPr>
                <w:rFonts w:hint="default"/>
                <w:lang w:val="en-US"/>
              </w:rPr>
            </w:pPr>
            <w:r>
              <w:rPr>
                <w:rFonts w:hint="default"/>
                <w:lang w:val="en-US" w:eastAsia="zh-CN"/>
              </w:rPr>
              <w:t>Redundant cyber infrastructure and AI audit protocols</w:t>
            </w:r>
          </w:p>
        </w:tc>
      </w:tr>
    </w:tbl>
    <w:p w14:paraId="09DB72CC">
      <w:pPr>
        <w:jc w:val="both"/>
        <w:rPr>
          <w:rFonts w:hint="default"/>
          <w:lang w:val="en-US"/>
        </w:rPr>
      </w:pPr>
    </w:p>
    <w:p w14:paraId="1CD34824">
      <w:pPr>
        <w:jc w:val="both"/>
        <w:rPr>
          <w:rFonts w:hint="default"/>
          <w:b/>
          <w:bCs/>
          <w:lang w:val="en-US"/>
        </w:rPr>
      </w:pPr>
      <w:r>
        <w:rPr>
          <w:rFonts w:hint="default"/>
          <w:b/>
          <w:bCs/>
          <w:lang w:val="en-US"/>
        </w:rPr>
        <w:t>6. Conclusion</w:t>
      </w:r>
    </w:p>
    <w:p w14:paraId="431967EB">
      <w:pPr>
        <w:jc w:val="both"/>
        <w:rPr>
          <w:rFonts w:hint="default"/>
          <w:lang w:val="en-US"/>
        </w:rPr>
      </w:pPr>
      <w:r>
        <w:rPr>
          <w:rFonts w:hint="default"/>
          <w:lang w:val="en-US"/>
        </w:rPr>
        <w:t>This policy brief presents a visionary yet prudent pathway for Syno Aurelius to assert full digital monetary sovereignty. The programmable peg will position SAD as a next-generation digital currency rooted in adaptive policy and technological credibility, while remaining anchored in investor trust and economic rationality.</w:t>
      </w:r>
    </w:p>
    <w:p w14:paraId="6DD623F8">
      <w:pPr>
        <w:jc w:val="both"/>
        <w:rPr>
          <w:rFonts w:hint="default"/>
          <w:lang w:val="en-US"/>
        </w:rPr>
      </w:pPr>
    </w:p>
    <w:p w14:paraId="3DB1984E">
      <w:pPr>
        <w:jc w:val="both"/>
        <w:rPr>
          <w:rFonts w:hint="default"/>
          <w:lang w:val="en-US"/>
        </w:rPr>
      </w:pPr>
      <w:r>
        <w:rPr>
          <w:rFonts w:hint="default"/>
          <w:lang w:val="en-US"/>
        </w:rPr>
        <w:t>"Sovereignty is not lost in partnership, but in passive dependence."</w:t>
      </w:r>
    </w:p>
    <w:p w14:paraId="6000BB6C">
      <w:pPr>
        <w:jc w:val="both"/>
        <w:rPr>
          <w:rFonts w:hint="default"/>
          <w:lang w:val="en-US"/>
        </w:rPr>
      </w:pPr>
    </w:p>
    <w:p w14:paraId="33B019F3">
      <w:pPr>
        <w:jc w:val="both"/>
        <w:rPr>
          <w:rFonts w:hint="default"/>
          <w:lang w:val="en-US"/>
        </w:rPr>
      </w:pPr>
      <w:r>
        <w:rPr>
          <w:rFonts w:hint="default"/>
          <w:lang w:val="en-US"/>
        </w:rPr>
        <w:t xml:space="preserve">-------------------------------------------------------------------------------------------------------------------------------------- </w:t>
      </w:r>
    </w:p>
    <w:p w14:paraId="2AD0C929">
      <w:pPr>
        <w:jc w:val="both"/>
        <w:rPr>
          <w:rFonts w:hint="default"/>
          <w:lang w:val="en-US"/>
        </w:rPr>
      </w:pPr>
    </w:p>
    <w:p w14:paraId="51CFDB55">
      <w:pPr>
        <w:jc w:val="both"/>
        <w:rPr>
          <w:rFonts w:hint="default"/>
          <w:b/>
          <w:bCs/>
          <w:lang w:val="en-US"/>
        </w:rPr>
      </w:pPr>
      <w:r>
        <w:rPr>
          <w:rFonts w:hint="default"/>
          <w:b/>
          <w:bCs/>
          <w:lang w:val="en-US"/>
        </w:rPr>
        <w:t>Attachments:</w:t>
      </w:r>
    </w:p>
    <w:p w14:paraId="2AFECD08">
      <w:pPr>
        <w:jc w:val="both"/>
        <w:rPr>
          <w:rFonts w:hint="default"/>
          <w:lang w:val="en-US"/>
        </w:rPr>
      </w:pPr>
    </w:p>
    <w:p w14:paraId="7E5EE416">
      <w:pPr>
        <w:jc w:val="both"/>
        <w:rPr>
          <w:rFonts w:hint="default"/>
          <w:lang w:val="en-US"/>
        </w:rPr>
      </w:pPr>
      <w:r>
        <w:rPr>
          <w:rFonts w:hint="default"/>
          <w:lang w:val="en-US"/>
        </w:rPr>
        <w:t>Annex A: Peg Simulation Models</w:t>
      </w:r>
    </w:p>
    <w:p w14:paraId="5E0DFCBA">
      <w:pPr>
        <w:jc w:val="both"/>
        <w:rPr>
          <w:rFonts w:hint="default"/>
          <w:lang w:val="en-US"/>
        </w:rPr>
      </w:pPr>
      <w:r>
        <w:rPr>
          <w:rFonts w:hint="default"/>
          <w:lang w:val="en-US"/>
        </w:rPr>
        <w:t>Annex B: Reserve Diversification Strategy</w:t>
      </w:r>
    </w:p>
    <w:p w14:paraId="5FD74C8A">
      <w:pPr>
        <w:jc w:val="both"/>
        <w:rPr>
          <w:rFonts w:hint="default"/>
          <w:lang w:val="en-US"/>
        </w:rPr>
      </w:pPr>
      <w:r>
        <w:rPr>
          <w:rFonts w:hint="default"/>
          <w:lang w:val="en-US"/>
        </w:rPr>
        <w:t>Annex C: Sovereign Stability Index Parameters</w:t>
      </w:r>
    </w:p>
    <w:p w14:paraId="69354A4C">
      <w:pPr>
        <w:jc w:val="both"/>
        <w:rPr>
          <w:rFonts w:hint="default"/>
          <w:lang w:val="en-US"/>
        </w:rPr>
      </w:pPr>
      <w:r>
        <w:rPr>
          <w:rFonts w:hint="default"/>
          <w:lang w:val="en-US"/>
        </w:rPr>
        <w:t>Annex D: Legal Reform Checklist for Digital Monetary Transition</w:t>
      </w:r>
    </w:p>
    <w:p w14:paraId="0D03D06D">
      <w:pPr>
        <w:jc w:val="both"/>
        <w:rPr>
          <w:rFonts w:hint="default"/>
          <w:lang w:val="en-US"/>
        </w:rPr>
      </w:pPr>
    </w:p>
    <w:p w14:paraId="7309F118">
      <w:pPr>
        <w:jc w:val="both"/>
        <w:rPr>
          <w:rFonts w:hint="default"/>
          <w:lang w:val="en-US"/>
        </w:rPr>
      </w:pPr>
    </w:p>
    <w:p w14:paraId="55E47F60">
      <w:pPr>
        <w:jc w:val="both"/>
        <w:rPr>
          <w:rFonts w:hint="default"/>
          <w:lang w:val="en-US"/>
        </w:rPr>
      </w:pPr>
    </w:p>
    <w:sectPr>
      <w:headerReference r:id="rId3" w:type="default"/>
      <w:pgSz w:w="11906" w:h="16838"/>
      <w:pgMar w:top="1440" w:right="1800" w:bottom="1440" w:left="1800" w:header="720" w:footer="720" w:gutter="0"/>
      <w:pgBorders>
        <w:top w:val="single" w:color="auto" w:sz="4" w:space="1"/>
        <w:left w:val="single" w:color="auto" w:sz="4" w:space="4"/>
        <w:bottom w:val="single" w:color="auto" w:sz="4" w:space="1"/>
        <w:right w:val="single" w:color="auto" w:sz="4" w:space="4"/>
      </w:pgBorders>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D7B1B">
    <w:pPr>
      <w:pStyle w:val="7"/>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649A61">
                          <w:pPr>
                            <w:pStyle w:val="7"/>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PZxI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HWPZxIhAgAA&#10;YAQAAA4AAAAAAAAAAQAgAAAAHwEAAGRycy9lMm9Eb2MueG1sUEsFBgAAAAAGAAYAWQEAALIFAAAA&#10;AA==&#10;">
              <v:fill on="f" focussize="0,0"/>
              <v:stroke on="f" weight="0.5pt"/>
              <v:imagedata o:title=""/>
              <o:lock v:ext="edit" aspectratio="f"/>
              <v:textbox inset="0mm,0mm,0mm,0mm" style="mso-fit-shape-to-text:t;">
                <w:txbxContent>
                  <w:p w14:paraId="7C649A61">
                    <w:pPr>
                      <w:pStyle w:val="7"/>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14</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18B11E"/>
    <w:multiLevelType w:val="singleLevel"/>
    <w:tmpl w:val="8418B11E"/>
    <w:lvl w:ilvl="0" w:tentative="0">
      <w:start w:val="1"/>
      <w:numFmt w:val="decimal"/>
      <w:lvlText w:val="%1."/>
      <w:lvlJc w:val="left"/>
      <w:pPr>
        <w:tabs>
          <w:tab w:val="left" w:pos="425"/>
        </w:tabs>
        <w:ind w:left="425" w:leftChars="0" w:hanging="425" w:firstLineChars="0"/>
      </w:pPr>
      <w:rPr>
        <w:rFonts w:hint="default"/>
      </w:rPr>
    </w:lvl>
  </w:abstractNum>
  <w:abstractNum w:abstractNumId="1">
    <w:nsid w:val="8EA7FA82"/>
    <w:multiLevelType w:val="singleLevel"/>
    <w:tmpl w:val="8EA7FA82"/>
    <w:lvl w:ilvl="0" w:tentative="0">
      <w:start w:val="1"/>
      <w:numFmt w:val="decimal"/>
      <w:lvlText w:val="%1."/>
      <w:lvlJc w:val="left"/>
      <w:pPr>
        <w:tabs>
          <w:tab w:val="left" w:pos="425"/>
        </w:tabs>
        <w:ind w:left="425" w:leftChars="0" w:hanging="425" w:firstLineChars="0"/>
      </w:pPr>
      <w:rPr>
        <w:rFonts w:hint="default"/>
      </w:rPr>
    </w:lvl>
  </w:abstractNum>
  <w:abstractNum w:abstractNumId="2">
    <w:nsid w:val="96997BFC"/>
    <w:multiLevelType w:val="singleLevel"/>
    <w:tmpl w:val="96997BFC"/>
    <w:lvl w:ilvl="0" w:tentative="0">
      <w:start w:val="1"/>
      <w:numFmt w:val="decimal"/>
      <w:lvlText w:val="%1)"/>
      <w:lvlJc w:val="left"/>
      <w:pPr>
        <w:tabs>
          <w:tab w:val="left" w:pos="845"/>
        </w:tabs>
        <w:ind w:left="845" w:leftChars="0" w:hanging="425" w:firstLineChars="0"/>
      </w:pPr>
      <w:rPr>
        <w:rFonts w:hint="default"/>
      </w:rPr>
    </w:lvl>
  </w:abstractNum>
  <w:abstractNum w:abstractNumId="3">
    <w:nsid w:val="B83E7796"/>
    <w:multiLevelType w:val="singleLevel"/>
    <w:tmpl w:val="B83E7796"/>
    <w:lvl w:ilvl="0" w:tentative="0">
      <w:start w:val="1"/>
      <w:numFmt w:val="decimal"/>
      <w:lvlText w:val="%1."/>
      <w:lvlJc w:val="left"/>
      <w:pPr>
        <w:tabs>
          <w:tab w:val="left" w:pos="425"/>
        </w:tabs>
        <w:ind w:left="425" w:leftChars="0" w:hanging="425" w:firstLineChars="0"/>
      </w:pPr>
      <w:rPr>
        <w:rFonts w:hint="default"/>
      </w:rPr>
    </w:lvl>
  </w:abstractNum>
  <w:abstractNum w:abstractNumId="4">
    <w:nsid w:val="B884BE0E"/>
    <w:multiLevelType w:val="singleLevel"/>
    <w:tmpl w:val="B884BE0E"/>
    <w:lvl w:ilvl="0" w:tentative="0">
      <w:start w:val="1"/>
      <w:numFmt w:val="decimal"/>
      <w:lvlText w:val="%1)"/>
      <w:lvlJc w:val="left"/>
      <w:pPr>
        <w:tabs>
          <w:tab w:val="left" w:pos="845"/>
        </w:tabs>
        <w:ind w:left="845" w:leftChars="0" w:hanging="425" w:firstLineChars="0"/>
      </w:pPr>
      <w:rPr>
        <w:rFonts w:hint="default"/>
      </w:rPr>
    </w:lvl>
  </w:abstractNum>
  <w:abstractNum w:abstractNumId="5">
    <w:nsid w:val="DA2622C8"/>
    <w:multiLevelType w:val="singleLevel"/>
    <w:tmpl w:val="DA2622C8"/>
    <w:lvl w:ilvl="0" w:tentative="0">
      <w:start w:val="1"/>
      <w:numFmt w:val="decimal"/>
      <w:lvlText w:val="%1)"/>
      <w:lvlJc w:val="left"/>
      <w:pPr>
        <w:tabs>
          <w:tab w:val="left" w:pos="845"/>
        </w:tabs>
        <w:ind w:left="845" w:leftChars="0" w:hanging="425" w:firstLineChars="0"/>
      </w:pPr>
      <w:rPr>
        <w:rFonts w:hint="default"/>
      </w:rPr>
    </w:lvl>
  </w:abstractNum>
  <w:abstractNum w:abstractNumId="6">
    <w:nsid w:val="DE0E031E"/>
    <w:multiLevelType w:val="singleLevel"/>
    <w:tmpl w:val="DE0E031E"/>
    <w:lvl w:ilvl="0" w:tentative="0">
      <w:start w:val="1"/>
      <w:numFmt w:val="decimal"/>
      <w:lvlText w:val="%1)"/>
      <w:lvlJc w:val="left"/>
      <w:pPr>
        <w:tabs>
          <w:tab w:val="left" w:pos="845"/>
        </w:tabs>
        <w:ind w:left="845" w:leftChars="0" w:hanging="425" w:firstLineChars="0"/>
      </w:pPr>
      <w:rPr>
        <w:rFonts w:hint="default"/>
      </w:rPr>
    </w:lvl>
  </w:abstractNum>
  <w:abstractNum w:abstractNumId="7">
    <w:nsid w:val="E3532EF5"/>
    <w:multiLevelType w:val="singleLevel"/>
    <w:tmpl w:val="E3532EF5"/>
    <w:lvl w:ilvl="0" w:tentative="0">
      <w:start w:val="1"/>
      <w:numFmt w:val="upperLetter"/>
      <w:lvlText w:val="%1."/>
      <w:lvlJc w:val="left"/>
      <w:pPr>
        <w:tabs>
          <w:tab w:val="left" w:pos="425"/>
        </w:tabs>
        <w:ind w:left="425" w:leftChars="0" w:hanging="425" w:firstLineChars="0"/>
      </w:pPr>
      <w:rPr>
        <w:rFonts w:hint="default"/>
      </w:rPr>
    </w:lvl>
  </w:abstractNum>
  <w:abstractNum w:abstractNumId="8">
    <w:nsid w:val="F2B07A89"/>
    <w:multiLevelType w:val="singleLevel"/>
    <w:tmpl w:val="F2B07A89"/>
    <w:lvl w:ilvl="0" w:tentative="0">
      <w:start w:val="1"/>
      <w:numFmt w:val="decimal"/>
      <w:lvlText w:val="%1)"/>
      <w:lvlJc w:val="left"/>
      <w:pPr>
        <w:tabs>
          <w:tab w:val="left" w:pos="425"/>
        </w:tabs>
        <w:ind w:left="425" w:leftChars="0" w:hanging="425" w:firstLineChars="0"/>
      </w:pPr>
      <w:rPr>
        <w:rFonts w:hint="default"/>
      </w:rPr>
    </w:lvl>
  </w:abstractNum>
  <w:abstractNum w:abstractNumId="9">
    <w:nsid w:val="FAB49AFE"/>
    <w:multiLevelType w:val="singleLevel"/>
    <w:tmpl w:val="FAB49AFE"/>
    <w:lvl w:ilvl="0" w:tentative="0">
      <w:start w:val="1"/>
      <w:numFmt w:val="decimal"/>
      <w:lvlText w:val="%1."/>
      <w:lvlJc w:val="left"/>
      <w:pPr>
        <w:tabs>
          <w:tab w:val="left" w:pos="425"/>
        </w:tabs>
        <w:ind w:left="425" w:leftChars="0" w:hanging="425" w:firstLineChars="0"/>
      </w:pPr>
      <w:rPr>
        <w:rFonts w:hint="default"/>
      </w:rPr>
    </w:lvl>
  </w:abstractNum>
  <w:abstractNum w:abstractNumId="10">
    <w:nsid w:val="02DEA1AF"/>
    <w:multiLevelType w:val="singleLevel"/>
    <w:tmpl w:val="02DEA1AF"/>
    <w:lvl w:ilvl="0" w:tentative="0">
      <w:start w:val="1"/>
      <w:numFmt w:val="decimal"/>
      <w:lvlText w:val="%1)"/>
      <w:lvlJc w:val="left"/>
      <w:pPr>
        <w:tabs>
          <w:tab w:val="left" w:pos="845"/>
        </w:tabs>
        <w:ind w:left="845" w:leftChars="0" w:hanging="425" w:firstLineChars="0"/>
      </w:pPr>
      <w:rPr>
        <w:rFonts w:hint="default"/>
      </w:rPr>
    </w:lvl>
  </w:abstractNum>
  <w:abstractNum w:abstractNumId="11">
    <w:nsid w:val="06F0AE68"/>
    <w:multiLevelType w:val="singleLevel"/>
    <w:tmpl w:val="06F0AE68"/>
    <w:lvl w:ilvl="0" w:tentative="0">
      <w:start w:val="1"/>
      <w:numFmt w:val="decimal"/>
      <w:lvlText w:val="%1."/>
      <w:lvlJc w:val="left"/>
      <w:pPr>
        <w:tabs>
          <w:tab w:val="left" w:pos="425"/>
        </w:tabs>
        <w:ind w:left="425" w:leftChars="0" w:hanging="425" w:firstLineChars="0"/>
      </w:pPr>
      <w:rPr>
        <w:rFonts w:hint="default"/>
      </w:rPr>
    </w:lvl>
  </w:abstractNum>
  <w:abstractNum w:abstractNumId="12">
    <w:nsid w:val="2AA82CDB"/>
    <w:multiLevelType w:val="singleLevel"/>
    <w:tmpl w:val="2AA82CDB"/>
    <w:lvl w:ilvl="0" w:tentative="0">
      <w:start w:val="1"/>
      <w:numFmt w:val="decimal"/>
      <w:lvlText w:val="%1)"/>
      <w:lvlJc w:val="left"/>
      <w:pPr>
        <w:tabs>
          <w:tab w:val="left" w:pos="845"/>
        </w:tabs>
        <w:ind w:left="845" w:leftChars="0" w:hanging="425" w:firstLineChars="0"/>
      </w:pPr>
      <w:rPr>
        <w:rFonts w:hint="default"/>
      </w:rPr>
    </w:lvl>
  </w:abstractNum>
  <w:abstractNum w:abstractNumId="13">
    <w:nsid w:val="2F4D7E7B"/>
    <w:multiLevelType w:val="singleLevel"/>
    <w:tmpl w:val="2F4D7E7B"/>
    <w:lvl w:ilvl="0" w:tentative="0">
      <w:start w:val="1"/>
      <w:numFmt w:val="decimal"/>
      <w:lvlText w:val="%1."/>
      <w:lvlJc w:val="left"/>
      <w:pPr>
        <w:tabs>
          <w:tab w:val="left" w:pos="425"/>
        </w:tabs>
        <w:ind w:left="425" w:leftChars="0" w:hanging="425" w:firstLineChars="0"/>
      </w:pPr>
      <w:rPr>
        <w:rFonts w:hint="default"/>
      </w:rPr>
    </w:lvl>
  </w:abstractNum>
  <w:abstractNum w:abstractNumId="14">
    <w:nsid w:val="3559411F"/>
    <w:multiLevelType w:val="singleLevel"/>
    <w:tmpl w:val="3559411F"/>
    <w:lvl w:ilvl="0" w:tentative="0">
      <w:start w:val="1"/>
      <w:numFmt w:val="decimal"/>
      <w:lvlText w:val="%1."/>
      <w:lvlJc w:val="left"/>
      <w:pPr>
        <w:tabs>
          <w:tab w:val="left" w:pos="425"/>
        </w:tabs>
        <w:ind w:left="425" w:leftChars="0" w:hanging="425" w:firstLineChars="0"/>
      </w:pPr>
      <w:rPr>
        <w:rFonts w:hint="default"/>
      </w:rPr>
    </w:lvl>
  </w:abstractNum>
  <w:abstractNum w:abstractNumId="15">
    <w:nsid w:val="3B9900F7"/>
    <w:multiLevelType w:val="singleLevel"/>
    <w:tmpl w:val="3B9900F7"/>
    <w:lvl w:ilvl="0" w:tentative="0">
      <w:start w:val="1"/>
      <w:numFmt w:val="decimal"/>
      <w:lvlText w:val="%1)"/>
      <w:lvlJc w:val="left"/>
      <w:pPr>
        <w:tabs>
          <w:tab w:val="left" w:pos="425"/>
        </w:tabs>
        <w:ind w:left="425" w:leftChars="0" w:hanging="425" w:firstLineChars="0"/>
      </w:pPr>
      <w:rPr>
        <w:rFonts w:hint="default"/>
      </w:rPr>
    </w:lvl>
  </w:abstractNum>
  <w:abstractNum w:abstractNumId="16">
    <w:nsid w:val="4043CAC1"/>
    <w:multiLevelType w:val="singleLevel"/>
    <w:tmpl w:val="4043CAC1"/>
    <w:lvl w:ilvl="0" w:tentative="0">
      <w:start w:val="1"/>
      <w:numFmt w:val="decimal"/>
      <w:lvlText w:val="%1)"/>
      <w:lvlJc w:val="left"/>
      <w:pPr>
        <w:tabs>
          <w:tab w:val="left" w:pos="845"/>
        </w:tabs>
        <w:ind w:left="845" w:leftChars="0" w:hanging="425" w:firstLineChars="0"/>
      </w:pPr>
      <w:rPr>
        <w:rFonts w:hint="default"/>
      </w:rPr>
    </w:lvl>
  </w:abstractNum>
  <w:abstractNum w:abstractNumId="17">
    <w:nsid w:val="41490F65"/>
    <w:multiLevelType w:val="singleLevel"/>
    <w:tmpl w:val="41490F65"/>
    <w:lvl w:ilvl="0" w:tentative="0">
      <w:start w:val="1"/>
      <w:numFmt w:val="decimal"/>
      <w:lvlText w:val="%1)"/>
      <w:lvlJc w:val="left"/>
      <w:pPr>
        <w:tabs>
          <w:tab w:val="left" w:pos="845"/>
        </w:tabs>
        <w:ind w:left="845" w:leftChars="0" w:hanging="425" w:firstLineChars="0"/>
      </w:pPr>
      <w:rPr>
        <w:rFonts w:hint="default"/>
      </w:rPr>
    </w:lvl>
  </w:abstractNum>
  <w:abstractNum w:abstractNumId="18">
    <w:nsid w:val="4A0781F1"/>
    <w:multiLevelType w:val="singleLevel"/>
    <w:tmpl w:val="4A0781F1"/>
    <w:lvl w:ilvl="0" w:tentative="0">
      <w:start w:val="1"/>
      <w:numFmt w:val="decimal"/>
      <w:lvlText w:val="%1)"/>
      <w:lvlJc w:val="left"/>
      <w:pPr>
        <w:tabs>
          <w:tab w:val="left" w:pos="845"/>
        </w:tabs>
        <w:ind w:left="845" w:leftChars="0" w:hanging="425" w:firstLineChars="0"/>
      </w:pPr>
      <w:rPr>
        <w:rFonts w:hint="default"/>
      </w:rPr>
    </w:lvl>
  </w:abstractNum>
  <w:abstractNum w:abstractNumId="19">
    <w:nsid w:val="513CD083"/>
    <w:multiLevelType w:val="singleLevel"/>
    <w:tmpl w:val="513CD083"/>
    <w:lvl w:ilvl="0" w:tentative="0">
      <w:start w:val="1"/>
      <w:numFmt w:val="decimal"/>
      <w:lvlText w:val="%1."/>
      <w:lvlJc w:val="left"/>
      <w:pPr>
        <w:tabs>
          <w:tab w:val="left" w:pos="425"/>
        </w:tabs>
        <w:ind w:left="425" w:leftChars="0" w:hanging="425" w:firstLineChars="0"/>
      </w:pPr>
      <w:rPr>
        <w:rFonts w:hint="default"/>
      </w:rPr>
    </w:lvl>
  </w:abstractNum>
  <w:abstractNum w:abstractNumId="20">
    <w:nsid w:val="5314B1EF"/>
    <w:multiLevelType w:val="singleLevel"/>
    <w:tmpl w:val="5314B1EF"/>
    <w:lvl w:ilvl="0" w:tentative="0">
      <w:start w:val="1"/>
      <w:numFmt w:val="decimal"/>
      <w:lvlText w:val="%1)"/>
      <w:lvlJc w:val="left"/>
      <w:pPr>
        <w:tabs>
          <w:tab w:val="left" w:pos="845"/>
        </w:tabs>
        <w:ind w:left="845" w:leftChars="0" w:hanging="425" w:firstLineChars="0"/>
      </w:pPr>
      <w:rPr>
        <w:rFonts w:hint="default"/>
      </w:rPr>
    </w:lvl>
  </w:abstractNum>
  <w:abstractNum w:abstractNumId="21">
    <w:nsid w:val="642C7F09"/>
    <w:multiLevelType w:val="singleLevel"/>
    <w:tmpl w:val="642C7F09"/>
    <w:lvl w:ilvl="0" w:tentative="0">
      <w:start w:val="1"/>
      <w:numFmt w:val="decimal"/>
      <w:lvlText w:val="%1)"/>
      <w:lvlJc w:val="left"/>
      <w:pPr>
        <w:tabs>
          <w:tab w:val="left" w:pos="845"/>
        </w:tabs>
        <w:ind w:left="845" w:leftChars="0" w:hanging="425" w:firstLineChars="0"/>
      </w:pPr>
      <w:rPr>
        <w:rFonts w:hint="default"/>
      </w:rPr>
    </w:lvl>
  </w:abstractNum>
  <w:num w:numId="1">
    <w:abstractNumId w:val="7"/>
  </w:num>
  <w:num w:numId="2">
    <w:abstractNumId w:val="14"/>
  </w:num>
  <w:num w:numId="3">
    <w:abstractNumId w:val="3"/>
  </w:num>
  <w:num w:numId="4">
    <w:abstractNumId w:val="13"/>
  </w:num>
  <w:num w:numId="5">
    <w:abstractNumId w:val="9"/>
  </w:num>
  <w:num w:numId="6">
    <w:abstractNumId w:val="11"/>
  </w:num>
  <w:num w:numId="7">
    <w:abstractNumId w:val="1"/>
  </w:num>
  <w:num w:numId="8">
    <w:abstractNumId w:val="0"/>
  </w:num>
  <w:num w:numId="9">
    <w:abstractNumId w:val="20"/>
  </w:num>
  <w:num w:numId="10">
    <w:abstractNumId w:val="18"/>
  </w:num>
  <w:num w:numId="11">
    <w:abstractNumId w:val="5"/>
  </w:num>
  <w:num w:numId="12">
    <w:abstractNumId w:val="2"/>
  </w:num>
  <w:num w:numId="13">
    <w:abstractNumId w:val="19"/>
  </w:num>
  <w:num w:numId="14">
    <w:abstractNumId w:val="12"/>
  </w:num>
  <w:num w:numId="15">
    <w:abstractNumId w:val="15"/>
  </w:num>
  <w:num w:numId="16">
    <w:abstractNumId w:val="8"/>
  </w:num>
  <w:num w:numId="17">
    <w:abstractNumId w:val="17"/>
  </w:num>
  <w:num w:numId="18">
    <w:abstractNumId w:val="21"/>
  </w:num>
  <w:num w:numId="19">
    <w:abstractNumId w:val="6"/>
  </w:num>
  <w:num w:numId="20">
    <w:abstractNumId w:val="16"/>
  </w:num>
  <w:num w:numId="21">
    <w:abstractNumId w:val="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E34220"/>
    <w:rsid w:val="0C5409B0"/>
    <w:rsid w:val="374F3AD2"/>
    <w:rsid w:val="41AF245D"/>
    <w:rsid w:val="42AF09E5"/>
    <w:rsid w:val="44E34220"/>
    <w:rsid w:val="57866CE3"/>
    <w:rsid w:val="64E759E1"/>
    <w:rsid w:val="66E641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paragraph" w:styleId="3">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tabs>
        <w:tab w:val="center" w:pos="4153"/>
        <w:tab w:val="right" w:pos="8306"/>
      </w:tabs>
      <w:snapToGrid w:val="0"/>
    </w:pPr>
    <w:rPr>
      <w:sz w:val="18"/>
      <w:szCs w:val="18"/>
    </w:rPr>
  </w:style>
  <w:style w:type="paragraph" w:styleId="8">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9">
    <w:name w:val="Strong"/>
    <w:basedOn w:val="4"/>
    <w:qFormat/>
    <w:uiPriority w:val="0"/>
    <w:rPr>
      <w:b/>
      <w:bC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0</Words>
  <Characters>0</Characters>
  <Lines>0</Lines>
  <Paragraphs>0</Paragraphs>
  <TotalTime>3</TotalTime>
  <ScaleCrop>false</ScaleCrop>
  <LinksUpToDate>false</LinksUpToDate>
  <CharactersWithSpaces>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2025-04-24T09:12:00Z</dcterms:created>
  <dc:creator>MONARCH</dc:creator>
  <cp:lastModifiedBy>Luke Lottering</cp:lastModifiedBy>
  <dcterms:modified xsi:type="dcterms:W3CDTF">2025-09-21T08:49:09Z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0FBC8817F3964FA8894AA9BE22225E79_13</vt:lpwstr>
  </property>
</Properties>
</file>