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C408B21"/>
    <w:p w14:paraId="6F4DDAE5">
      <w:pPr>
        <w:jc w:val="center"/>
        <w:rPr>
          <w:b/>
          <w:bCs/>
          <w:sz w:val="32"/>
          <w:szCs w:val="32"/>
        </w:rPr>
      </w:pPr>
      <w:r>
        <w:rPr>
          <w:b/>
          <w:bCs/>
          <w:sz w:val="32"/>
          <w:szCs w:val="32"/>
        </w:rPr>
        <w:t>THE CONSTITUTION OF THE CURRENCY AND MINT CORPORATION OF SYNO AURELIUS</w:t>
      </w:r>
    </w:p>
    <w:p w14:paraId="1ABEAC2F">
      <w:pPr>
        <w:jc w:val="center"/>
      </w:pPr>
      <w:r>
        <w:rPr>
          <w:b/>
          <w:bCs/>
          <w:sz w:val="32"/>
          <w:szCs w:val="32"/>
        </w:rPr>
        <w:t>(CMCSA)</w:t>
      </w:r>
      <w:r>
        <w:rPr>
          <w:b/>
          <w:bCs/>
          <w:sz w:val="32"/>
          <w:szCs w:val="32"/>
        </w:rPr>
        <w:br w:type="textWrapping"/>
      </w:r>
      <w:r>
        <w:t>Enacted by Royal Decree pursuant to the Monarchs Act, Act 1 of 2019 and Constitution Act, Act 2 of 2019</w:t>
      </w:r>
    </w:p>
    <w:p w14:paraId="5D3FC57E"/>
    <w:p w14:paraId="28E70E51">
      <w:pPr>
        <w:rPr>
          <w:b/>
          <w:bCs/>
        </w:rPr>
      </w:pPr>
      <w:r>
        <w:rPr>
          <w:b/>
          <w:bCs/>
        </w:rPr>
        <w:t>PREAMBLE</w:t>
      </w:r>
    </w:p>
    <w:p w14:paraId="2F994EA8"/>
    <w:p w14:paraId="4F2F1EB8">
      <w:pPr>
        <w:jc w:val="both"/>
      </w:pPr>
      <w:r>
        <w:t>Recognizing the sacred responsibility to uphold the sovereignty, independence, and monetary dignity of Syno Aurelius, and by virtue of the foundational powers conferred upon the Monarch, this Constitution establishes the Currency and Mint Corporation of Syno Aurelius (CMCSA), which shall be tasked with the exclusive mandate of designing, minting, producing, and safeguarding the currency of the realm.</w:t>
      </w:r>
    </w:p>
    <w:p w14:paraId="7523B328"/>
    <w:p w14:paraId="36763697">
      <w:pPr>
        <w:rPr>
          <w:b/>
          <w:bCs/>
        </w:rPr>
      </w:pPr>
      <w:r>
        <w:rPr>
          <w:b/>
          <w:bCs/>
        </w:rPr>
        <w:t>CHAPTER I: ESTABLISHMENT AND STATUS</w:t>
      </w:r>
    </w:p>
    <w:p w14:paraId="20991300">
      <w:r>
        <w:t>Article 1 – Name and Jurisdiction</w:t>
      </w:r>
    </w:p>
    <w:p w14:paraId="1D2A9393"/>
    <w:p w14:paraId="79199441">
      <w:pPr>
        <w:jc w:val="both"/>
      </w:pPr>
      <w:r>
        <w:t>The entity shall be known as the Currency and Mint Corporation of Syno Aurelius, abbreviated CMCSA.</w:t>
      </w:r>
    </w:p>
    <w:p w14:paraId="591DB478">
      <w:pPr>
        <w:jc w:val="both"/>
      </w:pPr>
    </w:p>
    <w:p w14:paraId="2629CA9E">
      <w:pPr>
        <w:jc w:val="both"/>
      </w:pPr>
      <w:r>
        <w:t>CMCSA is established as a Sovereign Strategic Institution under the State Treasury, operating under the oversight of the National State Bank.</w:t>
      </w:r>
    </w:p>
    <w:p w14:paraId="37E7886F">
      <w:pPr>
        <w:jc w:val="both"/>
      </w:pPr>
      <w:r>
        <w:t>Its headquarters shall be located in the capital city, Aurèliz, with satellite facilities and secure minting installations as determined by law.</w:t>
      </w:r>
    </w:p>
    <w:p w14:paraId="74259ACA">
      <w:pPr>
        <w:jc w:val="both"/>
      </w:pPr>
    </w:p>
    <w:p w14:paraId="231B716A">
      <w:pPr>
        <w:jc w:val="both"/>
      </w:pPr>
      <w:r>
        <w:t>Article 2 – Legal Personality</w:t>
      </w:r>
    </w:p>
    <w:p w14:paraId="6266E26C"/>
    <w:p w14:paraId="577F7150">
      <w:r>
        <w:t>CMCSA shall possess full legal personality, with perpetual succession and capacity to acquire rights, assume obligations, and enter into contracts in its own name.</w:t>
      </w:r>
    </w:p>
    <w:p w14:paraId="3C7EDF54"/>
    <w:p w14:paraId="77A24BE9"/>
    <w:p w14:paraId="0D1461B3">
      <w:pPr>
        <w:rPr>
          <w:b/>
          <w:bCs/>
        </w:rPr>
      </w:pPr>
      <w:r>
        <w:rPr>
          <w:b/>
          <w:bCs/>
        </w:rPr>
        <w:t>CHAPTER II: OBJECTIVES AND FUNCTIONS</w:t>
      </w:r>
    </w:p>
    <w:p w14:paraId="1A63BC67">
      <w:pPr>
        <w:jc w:val="both"/>
      </w:pPr>
      <w:r>
        <w:t>Article 3 – Core Mandate</w:t>
      </w:r>
      <w:r>
        <w:br w:type="textWrapping"/>
      </w:r>
      <w:r>
        <w:t>CMCSA shall:</w:t>
      </w:r>
      <w:r>
        <w:br w:type="textWrapping"/>
      </w:r>
      <w:r>
        <w:t>a. Design, mint, and issue all legal tender of Syno Aurelius in physical and digital forms;</w:t>
      </w:r>
      <w:r>
        <w:br w:type="textWrapping"/>
      </w:r>
      <w:r>
        <w:t>b. Manufacture commemorative currency, state medals, and sovereign securities;</w:t>
      </w:r>
      <w:r>
        <w:br w:type="textWrapping"/>
      </w:r>
      <w:r>
        <w:t>c. Implement advanced security features for anti-counterfeiting;</w:t>
      </w:r>
      <w:r>
        <w:br w:type="textWrapping"/>
      </w:r>
      <w:r>
        <w:t xml:space="preserve">d. Administer reserve stockpiles of currency and oversee </w:t>
      </w:r>
      <w:r>
        <w:rPr>
          <w:lang w:val="en-US"/>
        </w:rPr>
        <w:t>life-cycle</w:t>
      </w:r>
      <w:bookmarkStart w:id="0" w:name="_GoBack"/>
      <w:bookmarkEnd w:id="0"/>
      <w:r>
        <w:t xml:space="preserve"> withdrawal of obsolete notes and coins;</w:t>
      </w:r>
      <w:r>
        <w:br w:type="textWrapping"/>
      </w:r>
      <w:r>
        <w:t>e. Archive national currency history and designs in a Mint Heritage Repository.</w:t>
      </w:r>
    </w:p>
    <w:p w14:paraId="7A3EE78D">
      <w:pPr>
        <w:jc w:val="both"/>
      </w:pPr>
    </w:p>
    <w:p w14:paraId="1FD96AD5">
      <w:pPr>
        <w:jc w:val="both"/>
      </w:pPr>
      <w:r>
        <w:t>Article 4 – Monopoly and Exclusivity</w:t>
      </w:r>
      <w:r>
        <w:br w:type="textWrapping"/>
      </w:r>
      <w:r>
        <w:t>Only CMCSA shall have the legal right and authority to mint and issue the official currency and monetary instruments of Syno Aurelius, unless otherwise authorized by Royal Warrant or the Parliament of Syno Aurelius.</w:t>
      </w:r>
    </w:p>
    <w:p w14:paraId="5FEFF4F2">
      <w:pPr>
        <w:jc w:val="both"/>
      </w:pPr>
    </w:p>
    <w:p w14:paraId="4BAE05AA">
      <w:pPr>
        <w:rPr>
          <w:b/>
          <w:bCs/>
        </w:rPr>
      </w:pPr>
      <w:r>
        <w:rPr>
          <w:b/>
          <w:bCs/>
        </w:rPr>
        <w:t>CHAPTER III: GOVERNANCE AND ORGANIZATION</w:t>
      </w:r>
    </w:p>
    <w:p w14:paraId="795C76C1">
      <w:r>
        <w:t>Article 5 – Governing Bodies</w:t>
      </w:r>
    </w:p>
    <w:p w14:paraId="020DD2F0"/>
    <w:p w14:paraId="34DE8521">
      <w:r>
        <w:t>CMCSA shall be governed by:</w:t>
      </w:r>
    </w:p>
    <w:p w14:paraId="13860CCC">
      <w:r>
        <w:t>A Board of Governors</w:t>
      </w:r>
    </w:p>
    <w:p w14:paraId="5994EDFA">
      <w:r>
        <w:t>An Executive Mint Directorate</w:t>
      </w:r>
    </w:p>
    <w:p w14:paraId="44F19672">
      <w:r>
        <w:t>The Chairman of the Mint</w:t>
      </w:r>
    </w:p>
    <w:p w14:paraId="7A019543">
      <w:r>
        <w:t>A Supervisory Oversight Committee appointed jointly by the National State Bank and Ministry of Treasury.</w:t>
      </w:r>
    </w:p>
    <w:p w14:paraId="56453036"/>
    <w:p w14:paraId="46BEC3D9">
      <w:r>
        <w:t>Article 6 – Appointment of Chairman</w:t>
      </w:r>
    </w:p>
    <w:p w14:paraId="5B90255B"/>
    <w:p w14:paraId="51C86E96">
      <w:r>
        <w:t>The Chairman of the Mint shall be appointed by the Monarch, following the advice of the Governor of the Central Bank and the State President.</w:t>
      </w:r>
    </w:p>
    <w:p w14:paraId="1E2E2047">
      <w:r>
        <w:t>The Chairman shall serve for a renewable term of five (5) years.</w:t>
      </w:r>
    </w:p>
    <w:p w14:paraId="326AB713"/>
    <w:p w14:paraId="35AF70B7">
      <w:r>
        <w:t>Article 7 – Decision-Making</w:t>
      </w:r>
    </w:p>
    <w:p w14:paraId="7E5517DD"/>
    <w:p w14:paraId="6BD08A69">
      <w:r>
        <w:t>Policy decisions shall be made by the Board of Governors.</w:t>
      </w:r>
    </w:p>
    <w:p w14:paraId="72BE2228">
      <w:r>
        <w:t>Operational execution lies with the Executive Mint Directorate.</w:t>
      </w:r>
    </w:p>
    <w:p w14:paraId="4A76EBE7"/>
    <w:p w14:paraId="2D289192"/>
    <w:p w14:paraId="1754AE2D">
      <w:pPr>
        <w:rPr>
          <w:b/>
          <w:bCs/>
        </w:rPr>
      </w:pPr>
      <w:r>
        <w:rPr>
          <w:b/>
          <w:bCs/>
        </w:rPr>
        <w:t>CHAPTER IV: CURRENCY POLICY ALIGNMENT</w:t>
      </w:r>
    </w:p>
    <w:p w14:paraId="0763E1AA">
      <w:r>
        <w:t>Article 8 – Currency Authority</w:t>
      </w:r>
    </w:p>
    <w:p w14:paraId="67D63F02"/>
    <w:p w14:paraId="4714B436">
      <w:r>
        <w:t>CMCSA shall implement and execute currency issuance policies as directed by the National State Bank.</w:t>
      </w:r>
    </w:p>
    <w:p w14:paraId="4B0E1CE4"/>
    <w:p w14:paraId="47078635">
      <w:r>
        <w:t>The following currency framework is hereby constitutionally affirmed:</w:t>
      </w:r>
    </w:p>
    <w:p w14:paraId="09925D84"/>
    <w:p w14:paraId="2DAF969F">
      <w:r>
        <w:t>The Primary Currency of Syno Aurelius is the United States Dollar (USD).</w:t>
      </w:r>
    </w:p>
    <w:p w14:paraId="6BDB204C">
      <w:r>
        <w:t>The Secondary Currency is the Syno Aurelius Dollar (SAD).</w:t>
      </w:r>
    </w:p>
    <w:p w14:paraId="3BEF688F">
      <w:r>
        <w:t>The status of the Primary Currency may only be changed by joint recommendation of the Governor of the Central Bank and the State President, and final approval by the Monarch.</w:t>
      </w:r>
    </w:p>
    <w:p w14:paraId="6760BCF0"/>
    <w:p w14:paraId="349EC3BB"/>
    <w:p w14:paraId="40ADD633">
      <w:pPr>
        <w:rPr>
          <w:b/>
          <w:bCs/>
        </w:rPr>
      </w:pPr>
      <w:r>
        <w:rPr>
          <w:b/>
          <w:bCs/>
        </w:rPr>
        <w:t>CHAPTER V: INTELLECTUAL PROPERTY AND SECURITY</w:t>
      </w:r>
    </w:p>
    <w:p w14:paraId="06C814C1">
      <w:r>
        <w:t>Article 9 – Design and Technology Ownership</w:t>
      </w:r>
    </w:p>
    <w:p w14:paraId="4788E75B"/>
    <w:p w14:paraId="50EFD137">
      <w:r>
        <w:t>All designs, dies, software, minting tools, and technology platforms used in or by CMCSA are the exclusive intellectual property of the State of Syno Aurelius.</w:t>
      </w:r>
    </w:p>
    <w:p w14:paraId="53F74566"/>
    <w:p w14:paraId="1742854E">
      <w:r>
        <w:t>CMCSA shall develop and license technologies related to encryption, digital issuance, and holographic anti-counterfeit features.</w:t>
      </w:r>
    </w:p>
    <w:p w14:paraId="03D77AC3"/>
    <w:p w14:paraId="421AECAB">
      <w:r>
        <w:t>Article 10 – Confidentiality and Security Protocols</w:t>
      </w:r>
    </w:p>
    <w:p w14:paraId="6F0D5D5A"/>
    <w:p w14:paraId="5DA2457D">
      <w:r>
        <w:t>The minting process, security printing, and design templates shall be governed by protocols classified as State Secrets.</w:t>
      </w:r>
    </w:p>
    <w:p w14:paraId="5C15CE6C"/>
    <w:p w14:paraId="5B8079EA">
      <w:r>
        <w:t>Any violation or unauthorized disclosure shall be treated as an act of treason and prosecuted under national law.</w:t>
      </w:r>
    </w:p>
    <w:p w14:paraId="325D8988"/>
    <w:p w14:paraId="5C3F6285"/>
    <w:p w14:paraId="043BC048">
      <w:pPr>
        <w:rPr>
          <w:b/>
          <w:bCs/>
        </w:rPr>
      </w:pPr>
      <w:r>
        <w:rPr>
          <w:b/>
          <w:bCs/>
        </w:rPr>
        <w:t>CHAPTER VI: FINANCIAL FRAMEWORK</w:t>
      </w:r>
    </w:p>
    <w:p w14:paraId="23A9A28C">
      <w:r>
        <w:t>Article 11 – Funding and Revenue</w:t>
      </w:r>
    </w:p>
    <w:p w14:paraId="3B1BB0DE"/>
    <w:p w14:paraId="7E00647F">
      <w:r>
        <w:t>CMCSA shall receive capital appropriations from the State Treasury and may generate revenue through:</w:t>
      </w:r>
    </w:p>
    <w:p w14:paraId="58CD50FA">
      <w:r>
        <w:t>Commemorative coin sales</w:t>
      </w:r>
    </w:p>
    <w:p w14:paraId="1828F2AD">
      <w:r>
        <w:t>Currency export to sovereign partners</w:t>
      </w:r>
    </w:p>
    <w:p w14:paraId="38E1D55C">
      <w:r>
        <w:t>Licensing of anti-counterfeit and minting technologies.</w:t>
      </w:r>
    </w:p>
    <w:p w14:paraId="13DC581C"/>
    <w:p w14:paraId="67A883D0">
      <w:r>
        <w:t>Article 12 – Financial Oversight</w:t>
      </w:r>
    </w:p>
    <w:p w14:paraId="37D498C3">
      <w:r>
        <w:t>The Auditor-General of Syno Aurelius shall audit CMCSA annually.</w:t>
      </w:r>
    </w:p>
    <w:p w14:paraId="509A514D">
      <w:r>
        <w:t>Financial reports shall be submitted quarterly to the National State Bank and Ministry of Treasury.</w:t>
      </w:r>
    </w:p>
    <w:p w14:paraId="288524EF"/>
    <w:p w14:paraId="1904E999"/>
    <w:p w14:paraId="6618B91D">
      <w:pPr>
        <w:rPr>
          <w:b/>
          <w:bCs/>
        </w:rPr>
      </w:pPr>
      <w:r>
        <w:rPr>
          <w:b/>
          <w:bCs/>
        </w:rPr>
        <w:t>CHAPTER VII: DISSOLUTION OR RESTRUCTURE</w:t>
      </w:r>
    </w:p>
    <w:p w14:paraId="69720ED4">
      <w:r>
        <w:t>Article 13 – Sovereign Protection Clause</w:t>
      </w:r>
    </w:p>
    <w:p w14:paraId="2C6E7992"/>
    <w:p w14:paraId="6488693E">
      <w:r>
        <w:t>CMCSA may not be dissolved, privatized, or transferred to foreign control without a 2/3 majority vote of the Parliament and final approval by the Monarch.</w:t>
      </w:r>
    </w:p>
    <w:p w14:paraId="210D1CC1"/>
    <w:p w14:paraId="148EDD6F"/>
    <w:p w14:paraId="54ADA32A">
      <w:pPr>
        <w:rPr>
          <w:b/>
          <w:bCs/>
        </w:rPr>
      </w:pPr>
      <w:r>
        <w:rPr>
          <w:b/>
          <w:bCs/>
        </w:rPr>
        <w:t>CHAPTER VIII: FINAL PROVISIONS</w:t>
      </w:r>
    </w:p>
    <w:p w14:paraId="77262B15">
      <w:r>
        <w:t>Article 14 – Royal Enforcement</w:t>
      </w:r>
      <w:r>
        <w:br w:type="textWrapping"/>
      </w:r>
      <w:r>
        <w:t>This Constitution shall have full force and effect as law upon publication in the Royal Gazette of Syno Aurelius.</w:t>
      </w:r>
    </w:p>
    <w:p w14:paraId="3360D08D"/>
    <w:p w14:paraId="7518B582">
      <w:r>
        <w:t>Article 15 – Amendments</w:t>
      </w:r>
      <w:r>
        <w:br w:type="textWrapping"/>
      </w:r>
      <w:r>
        <w:t>Amendments to this Constitution shall be proposed by the Monarch or National State Bank, and shall require ratification by Royal Decree.</w:t>
      </w:r>
    </w:p>
    <w:p w14:paraId="76EAC4A7"/>
    <w:p w14:paraId="77177BD3"/>
    <w:p w14:paraId="48D02A64"/>
    <w:p w14:paraId="5CA19B65"/>
    <w:p w14:paraId="3E68FCA6"/>
    <w:p w14:paraId="1D3CE5AB"/>
    <w:p w14:paraId="7C15EA7D"/>
    <w:p w14:paraId="310AD725"/>
    <w:p w14:paraId="2B1130E9"/>
    <w:p w14:paraId="0FADA8DE"/>
    <w:p w14:paraId="21510CDD"/>
    <w:p w14:paraId="5C3D2ACF"/>
    <w:p w14:paraId="6E1F74BA"/>
    <w:p w14:paraId="14463C41"/>
    <w:p w14:paraId="50DB2314"/>
    <w:p w14:paraId="0EA9778D"/>
    <w:p w14:paraId="10459F06">
      <w:pPr>
        <w:jc w:val="center"/>
      </w:pPr>
      <w:r>
        <w:rPr>
          <w:sz w:val="32"/>
          <w:szCs w:val="32"/>
        </w:rPr>
        <w:t>GIVEN UNDER OUR HAND AND SEAL</w:t>
      </w:r>
      <w:r>
        <w:rPr>
          <w:sz w:val="32"/>
          <w:szCs w:val="32"/>
        </w:rPr>
        <w:br w:type="textWrapping"/>
      </w:r>
      <w:r>
        <w:t>At the Royal Seat, Aurèliz</w:t>
      </w:r>
      <w:r>
        <w:br w:type="textWrapping"/>
      </w:r>
      <w:r>
        <w:t>On this 22nd day of April, 2025</w:t>
      </w:r>
    </w:p>
    <w:p w14:paraId="256EDE9E">
      <w:pPr>
        <w:jc w:val="center"/>
      </w:pPr>
      <w:r>
        <w:t>By the Authority Vested in Me by the Foundational Acts of Syno Aurelius</w:t>
      </w:r>
    </w:p>
    <w:p w14:paraId="1DD73ED7">
      <w:pPr>
        <w:jc w:val="center"/>
      </w:pPr>
    </w:p>
    <w:p w14:paraId="6883349E">
      <w:pPr>
        <w:jc w:val="center"/>
        <w:rPr>
          <w:rFonts w:hint="default"/>
          <w:lang w:val="en-US"/>
        </w:rPr>
      </w:pPr>
    </w:p>
    <w:p w14:paraId="4F386F7F">
      <w:pPr>
        <w:jc w:val="center"/>
        <w:rPr>
          <w:rFonts w:hint="default"/>
          <w:lang w:val="en-US"/>
        </w:rPr>
      </w:pPr>
      <w:r>
        <w:rPr>
          <w:rFonts w:hint="default"/>
          <w:lang w:val="en-US"/>
        </w:rPr>
        <w:drawing>
          <wp:inline distT="0" distB="0" distL="114300" distR="114300">
            <wp:extent cx="1097915" cy="659130"/>
            <wp:effectExtent l="0" t="0" r="6985" b="7620"/>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97915" cy="659130"/>
                    </a:xfrm>
                    <a:prstGeom prst="rect">
                      <a:avLst/>
                    </a:prstGeom>
                    <a:solidFill>
                      <a:schemeClr val="accent4">
                        <a:lumMod val="20000"/>
                        <a:lumOff val="80000"/>
                      </a:schemeClr>
                    </a:solidFill>
                    <a:ln w="28575" cmpd="sng">
                      <a:noFill/>
                      <a:prstDash val="solid"/>
                    </a:ln>
                  </pic:spPr>
                </pic:pic>
              </a:graphicData>
            </a:graphic>
          </wp:inline>
        </w:drawing>
      </w:r>
    </w:p>
    <w:p w14:paraId="47DA6882">
      <w:pPr>
        <w:jc w:val="center"/>
      </w:pPr>
    </w:p>
    <w:p w14:paraId="3FD9C5CC">
      <w:pPr>
        <w:jc w:val="center"/>
      </w:pPr>
      <w:r>
        <w:t>His Imperial Majesty</w:t>
      </w:r>
      <w:r>
        <w:br w:type="textWrapping"/>
      </w:r>
      <w:r>
        <w:t>Imperator Grand</w:t>
      </w:r>
      <w:r>
        <w:rPr>
          <w:rFonts w:hint="default"/>
        </w:rPr>
        <w:t>ė</w:t>
      </w:r>
      <w:r>
        <w:t xml:space="preserve"> Dominus</w:t>
      </w:r>
      <w:r>
        <w:br w:type="textWrapping"/>
      </w:r>
      <w:r>
        <w:rPr>
          <w:rFonts w:hint="default"/>
          <w:lang w:val="en-US"/>
        </w:rPr>
        <w:t xml:space="preserve">The </w:t>
      </w:r>
      <w:r>
        <w:t>Emperor of Syno Aurelius</w:t>
      </w:r>
    </w:p>
    <w:p w14:paraId="1D33F1EC">
      <w:pPr>
        <w:jc w:val="center"/>
        <w:rPr>
          <w:rFonts w:hint="default"/>
          <w:lang w:val="en-US"/>
        </w:rPr>
      </w:pPr>
      <w:r>
        <w:t>Kar</w:t>
      </w:r>
      <w:r>
        <w:rPr>
          <w:rFonts w:hint="default"/>
        </w:rPr>
        <w:t>φ</w:t>
      </w:r>
      <w:r>
        <w:t xml:space="preserve">lys Ignatius </w:t>
      </w:r>
      <w:r>
        <w:rPr>
          <w:rFonts w:hint="default"/>
          <w:lang w:val="en-US"/>
        </w:rPr>
        <w:t>V</w:t>
      </w:r>
      <w:r>
        <w:t>on Lotharinge</w:t>
      </w:r>
      <w:r>
        <w:br w:type="textWrapping"/>
      </w:r>
      <w:r>
        <w:t>Grand Master of the Holy Order of Paladin Knights</w:t>
      </w:r>
      <w:r>
        <w:br w:type="textWrapping"/>
      </w:r>
      <w:r>
        <w:t>Sovereign Monarch and Founder</w:t>
      </w:r>
      <w:r>
        <w:rPr>
          <w:rFonts w:hint="default"/>
          <w:lang w:val="en-US"/>
        </w:rPr>
        <w:t xml:space="preserve"> of the Constitutional Monarchy of  Syno Aurelius</w:t>
      </w:r>
    </w:p>
    <w:p w14:paraId="09B5E7D6">
      <w:pPr>
        <w:jc w:val="center"/>
        <w:rPr>
          <w:rFonts w:hint="default"/>
          <w:lang w:val="en-US"/>
        </w:rPr>
      </w:pPr>
      <w:r>
        <w:rPr>
          <w:rFonts w:hint="default"/>
          <w:lang w:val="en-US"/>
        </w:rPr>
        <w:t>Custodian of the Sovereign Mint and Keeper of the National Currency</w:t>
      </w:r>
    </w:p>
    <w:p w14:paraId="1AAACF91">
      <w:pPr>
        <w:jc w:val="center"/>
        <w:rPr>
          <w:rFonts w:hint="default"/>
          <w:lang w:val="en-US"/>
        </w:rPr>
      </w:pPr>
    </w:p>
    <w:p w14:paraId="1A1CABBB">
      <w:pPr>
        <w:jc w:val="center"/>
      </w:pPr>
    </w:p>
    <w:p w14:paraId="7AF0CF9E">
      <w:pPr>
        <w:jc w:val="center"/>
        <w:rPr>
          <w:rFonts w:hint="default"/>
          <w:i/>
          <w:iCs/>
          <w:lang w:val="en-US"/>
        </w:rPr>
      </w:pPr>
      <w:r>
        <w:rPr>
          <w:rFonts w:hint="default"/>
          <w:i/>
          <w:iCs/>
          <w:lang w:val="en-US" w:eastAsia="zh-CN"/>
        </w:rPr>
        <w:t>Sigillum Regium Serenissimi Monarchae</w:t>
      </w:r>
    </w:p>
    <w:p w14:paraId="278FC71C">
      <w:pPr>
        <w:jc w:val="center"/>
        <w:rPr>
          <w:i/>
          <w:iCs/>
        </w:rPr>
      </w:pPr>
    </w:p>
    <w:p w14:paraId="4FDDC94E">
      <w:pPr>
        <w:jc w:val="center"/>
      </w:pPr>
    </w:p>
    <w:p w14:paraId="42A0CBC7">
      <w:pPr>
        <w:jc w:val="center"/>
      </w:pPr>
    </w:p>
    <w:p w14:paraId="03E2726E">
      <w:pPr>
        <w:jc w:val="center"/>
        <w:rPr>
          <w:rFonts w:hint="default"/>
          <w:lang w:val="en-US"/>
        </w:rPr>
      </w:pPr>
      <w:r>
        <w:rPr>
          <w:rFonts w:hint="default"/>
          <w:lang w:val="en-US"/>
        </w:rPr>
        <w:drawing>
          <wp:inline distT="0" distB="0" distL="114300" distR="114300">
            <wp:extent cx="1191895" cy="1124585"/>
            <wp:effectExtent l="0" t="0" r="0" b="18415"/>
            <wp:docPr id="1" name="Picture 1"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s Seal"/>
                    <pic:cNvPicPr>
                      <a:picLocks noChangeAspect="1"/>
                    </pic:cNvPicPr>
                  </pic:nvPicPr>
                  <pic:blipFill>
                    <a:blip r:embed="rId7"/>
                    <a:stretch>
                      <a:fillRect/>
                    </a:stretch>
                  </pic:blipFill>
                  <pic:spPr>
                    <a:xfrm>
                      <a:off x="0" y="0"/>
                      <a:ext cx="1191895" cy="1124585"/>
                    </a:xfrm>
                    <a:prstGeom prst="rect">
                      <a:avLst/>
                    </a:prstGeom>
                  </pic:spPr>
                </pic:pic>
              </a:graphicData>
            </a:graphic>
          </wp:inline>
        </w:drawing>
      </w:r>
    </w:p>
    <w:p w14:paraId="1D6DC7F8">
      <w:pPr>
        <w:jc w:val="center"/>
      </w:pPr>
      <w:r>
        <w:rPr>
          <w:rFonts w:hint="default"/>
          <w:lang w:val="en-US"/>
        </w:rPr>
        <w:drawing>
          <wp:anchor distT="0" distB="0" distL="114300" distR="114300" simplePos="0" relativeHeight="251659264" behindDoc="1" locked="0" layoutInCell="1" allowOverlap="1">
            <wp:simplePos x="0" y="0"/>
            <wp:positionH relativeFrom="column">
              <wp:posOffset>1532255</wp:posOffset>
            </wp:positionH>
            <wp:positionV relativeFrom="paragraph">
              <wp:posOffset>36830</wp:posOffset>
            </wp:positionV>
            <wp:extent cx="2329180" cy="1490345"/>
            <wp:effectExtent l="0" t="0" r="13970" b="14605"/>
            <wp:wrapNone/>
            <wp:docPr id="5" name="Picture 5"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narchs Signature"/>
                    <pic:cNvPicPr>
                      <a:picLocks noChangeAspect="1"/>
                    </pic:cNvPicPr>
                  </pic:nvPicPr>
                  <pic:blipFill>
                    <a:blip r:embed="rId8"/>
                    <a:stretch>
                      <a:fillRect/>
                    </a:stretch>
                  </pic:blipFill>
                  <pic:spPr>
                    <a:xfrm>
                      <a:off x="0" y="0"/>
                      <a:ext cx="2329180" cy="1490345"/>
                    </a:xfrm>
                    <a:prstGeom prst="rect">
                      <a:avLst/>
                    </a:prstGeom>
                  </pic:spPr>
                </pic:pic>
              </a:graphicData>
            </a:graphic>
          </wp:anchor>
        </w:drawing>
      </w:r>
    </w:p>
    <w:p w14:paraId="241D5060">
      <w:pPr>
        <w:jc w:val="center"/>
        <w:rPr>
          <w:rFonts w:hint="default"/>
          <w:lang w:val="en-US"/>
        </w:rPr>
      </w:pPr>
    </w:p>
    <w:sectPr>
      <w:headerReference r:id="rId3" w:type="default"/>
      <w:footerReference r:id="rId4"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87DB">
    <w:pPr>
      <w:pStyle w:val="8"/>
      <w:jc w:val="center"/>
      <w:rPr>
        <w:rFonts w:hint="default"/>
        <w:b/>
        <w:bCs/>
        <w:lang w:val="en-US"/>
      </w:rPr>
    </w:pPr>
    <w:r>
      <w:rPr>
        <w:sz w:val="18"/>
      </w:rPr>
      <mc:AlternateContent>
        <mc:Choice Requires="wps">
          <w:drawing>
            <wp:anchor distT="0" distB="0" distL="114300" distR="114300" simplePos="0" relativeHeight="251662336" behindDoc="0" locked="0" layoutInCell="1" allowOverlap="1">
              <wp:simplePos x="0" y="0"/>
              <wp:positionH relativeFrom="column">
                <wp:posOffset>4692015</wp:posOffset>
              </wp:positionH>
              <wp:positionV relativeFrom="paragraph">
                <wp:posOffset>-50165</wp:posOffset>
              </wp:positionV>
              <wp:extent cx="595630" cy="461645"/>
              <wp:effectExtent l="0" t="0" r="13970" b="14605"/>
              <wp:wrapNone/>
              <wp:docPr id="11" name="Text Box 11"/>
              <wp:cNvGraphicFramePr/>
              <a:graphic xmlns:a="http://schemas.openxmlformats.org/drawingml/2006/main">
                <a:graphicData uri="http://schemas.microsoft.com/office/word/2010/wordprocessingShape">
                  <wps:wsp>
                    <wps:cNvSpPr txBox="1"/>
                    <wps:spPr>
                      <a:xfrm>
                        <a:off x="5835015" y="9766300"/>
                        <a:ext cx="595630" cy="461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91FACC">
                          <w:pPr>
                            <w:rPr>
                              <w:rFonts w:hint="default"/>
                              <w:lang w:val="en-US"/>
                            </w:rPr>
                          </w:pPr>
                          <w:r>
                            <w:rPr>
                              <w:rFonts w:hint="default"/>
                              <w:lang w:val="en-US"/>
                            </w:rPr>
                            <w:drawing>
                              <wp:inline distT="0" distB="0" distL="114300" distR="114300">
                                <wp:extent cx="357505" cy="363855"/>
                                <wp:effectExtent l="0" t="0" r="4445" b="17145"/>
                                <wp:docPr id="12" name="Picture 12"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ROWN 2"/>
                                        <pic:cNvPicPr>
                                          <a:picLocks noChangeAspect="1"/>
                                        </pic:cNvPicPr>
                                      </pic:nvPicPr>
                                      <pic:blipFill>
                                        <a:blip r:embed="rId1"/>
                                        <a:stretch>
                                          <a:fillRect/>
                                        </a:stretch>
                                      </pic:blipFill>
                                      <pic:spPr>
                                        <a:xfrm>
                                          <a:off x="0" y="0"/>
                                          <a:ext cx="357505" cy="3638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45pt;margin-top:-3.95pt;height:36.35pt;width:46.9pt;z-index:251662336;mso-width-relative:page;mso-height-relative:page;" fillcolor="#FFFFFF [3201]" filled="t" stroked="f" coordsize="21600,21600" o:gfxdata="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Bdkc1gAAAAkBAAAPAAAAAAAAAAEAIAAA&#10;ACIAAABkcnMvZG93bnJldi54bWxQSwECFAAUAAAACACHTuJAvtMqqkcCAACbBAAADgAAAAAAAAAB&#10;ACAAAAAlAQAAZHJzL2Uyb0RvYy54bWxQSwUGAAAAAAYABgBZAQAA3gUAAAAA&#10;">
              <v:fill on="t" focussize="0,0"/>
              <v:stroke on="f" weight="0.5pt"/>
              <v:imagedata o:title=""/>
              <o:lock v:ext="edit" aspectratio="f"/>
              <v:textbox>
                <w:txbxContent>
                  <w:p w14:paraId="5591FACC">
                    <w:pPr>
                      <w:rPr>
                        <w:rFonts w:hint="default"/>
                        <w:lang w:val="en-US"/>
                      </w:rPr>
                    </w:pPr>
                    <w:r>
                      <w:rPr>
                        <w:rFonts w:hint="default"/>
                        <w:lang w:val="en-US"/>
                      </w:rPr>
                      <w:drawing>
                        <wp:inline distT="0" distB="0" distL="114300" distR="114300">
                          <wp:extent cx="357505" cy="363855"/>
                          <wp:effectExtent l="0" t="0" r="4445" b="17145"/>
                          <wp:docPr id="12" name="Picture 12"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ROWN 2"/>
                                  <pic:cNvPicPr>
                                    <a:picLocks noChangeAspect="1"/>
                                  </pic:cNvPicPr>
                                </pic:nvPicPr>
                                <pic:blipFill>
                                  <a:blip r:embed="rId1"/>
                                  <a:stretch>
                                    <a:fillRect/>
                                  </a:stretch>
                                </pic:blipFill>
                                <pic:spPr>
                                  <a:xfrm>
                                    <a:off x="0" y="0"/>
                                    <a:ext cx="357505" cy="363855"/>
                                  </a:xfrm>
                                  <a:prstGeom prst="rect">
                                    <a:avLst/>
                                  </a:prstGeom>
                                </pic:spPr>
                              </pic:pic>
                            </a:graphicData>
                          </a:graphic>
                        </wp:inline>
                      </w:drawing>
                    </w:r>
                  </w:p>
                </w:txbxContent>
              </v:textbox>
            </v:shape>
          </w:pict>
        </mc:Fallback>
      </mc:AlternateContent>
    </w:r>
    <w:r>
      <w:rPr>
        <w:rFonts w:hint="default"/>
        <w:b/>
        <w:bCs/>
        <w:lang w:val="en-US"/>
      </w:rPr>
      <w:t>THE CONSTITUTIONAL MONARCHY OF SYNO AURELIUS</w:t>
    </w:r>
  </w:p>
  <w:p w14:paraId="6FE4D3E2">
    <w:pPr>
      <w:pStyle w:val="8"/>
      <w:jc w:val="center"/>
      <w:rPr>
        <w:rFonts w:hint="default"/>
        <w:lang w:val="en-US"/>
      </w:rPr>
    </w:pPr>
    <w:r>
      <w:rPr>
        <w:rFonts w:hint="default"/>
        <w:lang w:val="en-US"/>
      </w:rPr>
      <w:t>Duly Proclaimed on 13 May 2019</w:t>
    </w:r>
  </w:p>
  <w:p w14:paraId="7BA75A98">
    <w:pPr>
      <w:pStyle w:val="8"/>
      <w:jc w:val="center"/>
      <w:rPr>
        <w:rFonts w:hint="default"/>
        <w:lang w:val="en-US"/>
      </w:rPr>
    </w:pPr>
    <w:r>
      <w:rPr>
        <w:rFonts w:hint="default"/>
        <w:lang w:val="en-US"/>
      </w:rPr>
      <w:t>Staed President: His Excellency DR.Monja Roindefo Zafitisimivalo</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B773">
    <w:pPr>
      <w:pStyle w:val="9"/>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A1948">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Qv0sg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D1C/SyACAABi&#10;BAAADgAAAAAAAAABACAAAAAfAQAAZHJzL2Uyb0RvYy54bWxQSwUGAAAAAAYABgBZAQAAsQUAAAAA&#10;">
              <v:fill on="f" focussize="0,0"/>
              <v:stroke on="f" weight="0.5pt"/>
              <v:imagedata o:title=""/>
              <o:lock v:ext="edit" aspectratio="f"/>
              <v:textbox inset="0mm,0mm,0mm,0mm" style="mso-fit-shape-to-text:t;">
                <w:txbxContent>
                  <w:p w14:paraId="0EBA1948">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p>
                </w:txbxContent>
              </v:textbox>
            </v:shape>
          </w:pict>
        </mc:Fallback>
      </mc:AlternateContent>
    </w:r>
    <w:r>
      <w:rPr>
        <w:rFonts w:hint="default"/>
        <w:lang w:val="en-US"/>
      </w:rPr>
      <w:drawing>
        <wp:inline distT="0" distB="0" distL="114300" distR="114300">
          <wp:extent cx="1127125" cy="1218565"/>
          <wp:effectExtent l="0" t="0" r="15875" b="635"/>
          <wp:docPr id="8" name="Picture 8"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yno Aurelius"/>
                  <pic:cNvPicPr>
                    <a:picLocks noChangeAspect="1"/>
                  </pic:cNvPicPr>
                </pic:nvPicPr>
                <pic:blipFill>
                  <a:blip r:embed="rId1"/>
                  <a:stretch>
                    <a:fillRect/>
                  </a:stretch>
                </pic:blipFill>
                <pic:spPr>
                  <a:xfrm>
                    <a:off x="0" y="0"/>
                    <a:ext cx="1127125" cy="1218565"/>
                  </a:xfrm>
                  <a:prstGeom prst="rect">
                    <a:avLst/>
                  </a:prstGeom>
                </pic:spPr>
              </pic:pic>
            </a:graphicData>
          </a:graphic>
        </wp:inline>
      </w:drawing>
    </w:r>
  </w:p>
  <w:p w14:paraId="4DA6C827">
    <w:pPr>
      <w:pStyle w:val="9"/>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1681480</wp:posOffset>
              </wp:positionH>
              <wp:positionV relativeFrom="paragraph">
                <wp:posOffset>66675</wp:posOffset>
              </wp:positionV>
              <wp:extent cx="1828800" cy="367665"/>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367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2BD3A">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4pt;margin-top:5.25pt;height:28.95pt;width:144pt;mso-wrap-style:none;z-index:251660288;mso-width-relative:page;mso-height-relative:page;" filled="f" stroked="f" coordsize="21600,21600" o:gfxdata="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rFBHNoAAAAJAQAADwAAAAAAAAABACAAAAAiAAAAZHJzL2Rvd25yZXYueG1sUEsBAhQA&#10;FAAAAAgAh07iQJqZkrApAgAAYwQAAA4AAAAAAAAAAQAgAAAAKQEAAGRycy9lMm9Eb2MueG1sUEsF&#10;BgAAAAAGAAYAWQEAAMQFAAAAAA==&#10;">
              <v:fill on="f" focussize="0,0"/>
              <v:stroke on="f" weight="0.5pt"/>
              <v:imagedata o:title=""/>
              <o:lock v:ext="edit" aspectratio="f"/>
              <v:textbox>
                <w:txbxContent>
                  <w:p w14:paraId="1012BD3A">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p>
  <w:p w14:paraId="14D7F616">
    <w:pPr>
      <w:pStyle w:val="9"/>
      <w:jc w:val="center"/>
      <w:rPr>
        <w:rFonts w:hint="default"/>
        <w:lang w:val="en-US"/>
      </w:rPr>
    </w:pPr>
  </w:p>
  <w:p w14:paraId="11F8BD13">
    <w:pPr>
      <w:pStyle w:val="9"/>
      <w:jc w:val="center"/>
      <w:rPr>
        <w:rFonts w:hint="default"/>
        <w:lang w:val="en-US"/>
      </w:rPr>
    </w:pPr>
  </w:p>
  <w:p w14:paraId="7AD2BD97">
    <w:pPr>
      <w:pStyle w:val="9"/>
      <w:jc w:val="center"/>
      <w:rPr>
        <w:rFonts w:hint="defau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F5328"/>
    <w:rsid w:val="10EF7A79"/>
    <w:rsid w:val="15173AA9"/>
    <w:rsid w:val="2B75075B"/>
    <w:rsid w:val="31CE2706"/>
    <w:rsid w:val="471F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basedOn w:val="1"/>
    <w:uiPriority w:val="0"/>
    <w:rPr>
      <w:sz w:val="24"/>
      <w:szCs w:val="24"/>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2025-04-22T11:00:00Z</dcterms:created>
  <dc:creator>MONARCH</dc:creator>
  <cp:lastModifiedBy>Luke Lottering</cp:lastModifiedBy>
  <dcterms:modified xsi:type="dcterms:W3CDTF">2025-09-20T10:47:32Z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34788BC46FFC4AAE823344223ABC6276_13</vt:lpwstr>
  </property>
</Properties>
</file>